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D897A" w14:textId="77777777" w:rsidR="006A3AFC" w:rsidRPr="006A3AFC" w:rsidRDefault="006A3AFC" w:rsidP="006A3AFC">
      <w:pPr>
        <w:spacing w:before="120" w:after="120" w:line="240" w:lineRule="auto"/>
        <w:jc w:val="both"/>
        <w:rPr>
          <w:rFonts w:cs="Arial"/>
          <w:b/>
          <w:bCs/>
          <w:sz w:val="24"/>
          <w:szCs w:val="24"/>
        </w:rPr>
      </w:pPr>
    </w:p>
    <w:p w14:paraId="3EE858BE" w14:textId="77777777" w:rsidR="006A3AFC" w:rsidRPr="006A3AFC" w:rsidRDefault="006A3AFC" w:rsidP="006A3AFC">
      <w:pPr>
        <w:spacing w:before="120" w:after="120" w:line="240" w:lineRule="auto"/>
        <w:jc w:val="both"/>
        <w:rPr>
          <w:rFonts w:cs="Arial"/>
          <w:b/>
          <w:bCs/>
          <w:sz w:val="24"/>
          <w:szCs w:val="24"/>
        </w:rPr>
      </w:pPr>
    </w:p>
    <w:p w14:paraId="31432C23" w14:textId="77777777" w:rsidR="006A3AFC" w:rsidRPr="006A3AFC" w:rsidRDefault="006A3AFC" w:rsidP="006A3AFC">
      <w:pPr>
        <w:spacing w:before="120" w:after="120" w:line="240" w:lineRule="auto"/>
        <w:jc w:val="both"/>
        <w:rPr>
          <w:rFonts w:cs="Arial"/>
          <w:b/>
          <w:bCs/>
          <w:sz w:val="24"/>
          <w:szCs w:val="24"/>
        </w:rPr>
      </w:pPr>
    </w:p>
    <w:p w14:paraId="3A6452EA" w14:textId="77777777" w:rsidR="006A3AFC" w:rsidRPr="006A3AFC" w:rsidRDefault="006A3AFC" w:rsidP="006A3AFC">
      <w:pPr>
        <w:spacing w:before="120" w:after="120" w:line="240" w:lineRule="auto"/>
        <w:jc w:val="both"/>
        <w:rPr>
          <w:rFonts w:cs="Arial"/>
          <w:b/>
          <w:bCs/>
          <w:sz w:val="24"/>
          <w:szCs w:val="24"/>
        </w:rPr>
      </w:pPr>
    </w:p>
    <w:p w14:paraId="27113EB8" w14:textId="77777777" w:rsidR="006A3AFC" w:rsidRPr="006A3AFC" w:rsidRDefault="006A3AFC" w:rsidP="006A3AFC">
      <w:pPr>
        <w:spacing w:before="120" w:after="120" w:line="240" w:lineRule="auto"/>
        <w:jc w:val="both"/>
        <w:rPr>
          <w:rFonts w:cs="Arial"/>
          <w:b/>
          <w:bCs/>
          <w:sz w:val="24"/>
          <w:szCs w:val="24"/>
        </w:rPr>
      </w:pPr>
    </w:p>
    <w:p w14:paraId="1D42EDE5" w14:textId="3912FA14" w:rsidR="006A3AFC" w:rsidRPr="006A3AFC" w:rsidRDefault="006A3AFC" w:rsidP="006A3AFC">
      <w:pPr>
        <w:spacing w:before="120" w:after="120" w:line="240" w:lineRule="auto"/>
        <w:jc w:val="both"/>
        <w:rPr>
          <w:rFonts w:cs="Arial"/>
          <w:b/>
          <w:bCs/>
          <w:sz w:val="28"/>
          <w:szCs w:val="28"/>
        </w:rPr>
      </w:pPr>
      <w:r w:rsidRPr="006A3AFC">
        <w:rPr>
          <w:rFonts w:cs="Arial"/>
          <w:b/>
          <w:bCs/>
          <w:sz w:val="28"/>
          <w:szCs w:val="28"/>
        </w:rPr>
        <w:t>MEDIA STATEMENT</w:t>
      </w:r>
      <w:r w:rsidR="00B331B2">
        <w:rPr>
          <w:rFonts w:cs="Arial"/>
          <w:b/>
          <w:bCs/>
          <w:sz w:val="28"/>
          <w:szCs w:val="28"/>
        </w:rPr>
        <w:t xml:space="preserve">  12 March 2025</w:t>
      </w:r>
    </w:p>
    <w:p w14:paraId="374FA6EB" w14:textId="77777777" w:rsidR="006A3AFC" w:rsidRDefault="006A3AFC" w:rsidP="006A3AFC">
      <w:pPr>
        <w:spacing w:before="120" w:after="120" w:line="240" w:lineRule="auto"/>
        <w:jc w:val="both"/>
        <w:rPr>
          <w:rFonts w:cs="Arial"/>
          <w:b/>
          <w:bCs/>
          <w:sz w:val="24"/>
          <w:szCs w:val="24"/>
        </w:rPr>
      </w:pPr>
    </w:p>
    <w:p w14:paraId="030E4607" w14:textId="75903937" w:rsidR="006A3AFC" w:rsidRPr="006B67C9" w:rsidRDefault="00B331B2" w:rsidP="006A3AFC">
      <w:pPr>
        <w:spacing w:before="120" w:after="120" w:line="240" w:lineRule="auto"/>
        <w:jc w:val="both"/>
        <w:rPr>
          <w:rFonts w:cs="Arial"/>
          <w:b/>
          <w:bCs/>
          <w:sz w:val="28"/>
          <w:szCs w:val="28"/>
        </w:rPr>
      </w:pPr>
      <w:r w:rsidRPr="006B67C9">
        <w:rPr>
          <w:rFonts w:cs="Arial"/>
          <w:b/>
          <w:bCs/>
          <w:i/>
          <w:iCs/>
          <w:sz w:val="28"/>
          <w:szCs w:val="28"/>
        </w:rPr>
        <w:t>Commonwealth of Australia v Yunupingu [2025] HCA 6</w:t>
      </w:r>
    </w:p>
    <w:p w14:paraId="281FE5C1" w14:textId="77777777" w:rsidR="00B331B2" w:rsidRDefault="00B331B2" w:rsidP="006A3AFC">
      <w:pPr>
        <w:spacing w:before="120" w:after="120" w:line="240" w:lineRule="auto"/>
        <w:jc w:val="both"/>
        <w:rPr>
          <w:rFonts w:cs="Arial"/>
          <w:sz w:val="24"/>
          <w:szCs w:val="24"/>
        </w:rPr>
      </w:pPr>
    </w:p>
    <w:p w14:paraId="156B1A41" w14:textId="6A30BD9E" w:rsidR="006A3AFC" w:rsidRDefault="006A3AFC" w:rsidP="006A3AFC">
      <w:pPr>
        <w:spacing w:before="120" w:after="120" w:line="240" w:lineRule="auto"/>
        <w:jc w:val="both"/>
        <w:rPr>
          <w:rFonts w:cs="Arial"/>
          <w:sz w:val="24"/>
          <w:szCs w:val="24"/>
        </w:rPr>
      </w:pPr>
      <w:r w:rsidRPr="006A3AFC">
        <w:rPr>
          <w:rFonts w:cs="Arial"/>
          <w:sz w:val="24"/>
          <w:szCs w:val="24"/>
        </w:rPr>
        <w:t xml:space="preserve">The National Native Title Council (NNTC) welcomes the decision of the High Court of Australia in </w:t>
      </w:r>
      <w:r w:rsidR="00B331B2" w:rsidRPr="00B331B2">
        <w:rPr>
          <w:rFonts w:cs="Arial"/>
          <w:b/>
          <w:bCs/>
          <w:i/>
          <w:iCs/>
          <w:sz w:val="24"/>
          <w:szCs w:val="24"/>
        </w:rPr>
        <w:t>Commonwealth of Australia v Yunupingu [2025] HCA 6</w:t>
      </w:r>
      <w:r w:rsidR="00E80E6F">
        <w:rPr>
          <w:rFonts w:cs="Arial"/>
          <w:b/>
          <w:bCs/>
          <w:i/>
          <w:iCs/>
          <w:sz w:val="24"/>
          <w:szCs w:val="24"/>
        </w:rPr>
        <w:t xml:space="preserve"> </w:t>
      </w:r>
      <w:r w:rsidRPr="006A3AFC">
        <w:rPr>
          <w:rFonts w:cs="Arial"/>
          <w:sz w:val="24"/>
          <w:szCs w:val="24"/>
        </w:rPr>
        <w:t>and congratulates the Yunupingu family and Gumatj Clan.</w:t>
      </w:r>
    </w:p>
    <w:p w14:paraId="6619E14B" w14:textId="48670227" w:rsidR="00B331B2" w:rsidRDefault="006A3AFC" w:rsidP="006A3AFC">
      <w:pPr>
        <w:spacing w:before="120" w:after="120" w:line="240" w:lineRule="auto"/>
        <w:jc w:val="both"/>
        <w:rPr>
          <w:rFonts w:cs="Arial"/>
          <w:sz w:val="24"/>
          <w:szCs w:val="24"/>
        </w:rPr>
      </w:pPr>
      <w:r w:rsidRPr="006A3AFC">
        <w:rPr>
          <w:rFonts w:cs="Arial"/>
          <w:sz w:val="24"/>
          <w:szCs w:val="24"/>
        </w:rPr>
        <w:t>The High Court of Australia has delivered a landmark judgment on compensation for native title holders in the Northern Territory. The Court considered whether acts done by the Commonwealth of Australia in the Northern Territory</w:t>
      </w:r>
      <w:r w:rsidR="00FC2638">
        <w:rPr>
          <w:rFonts w:cs="Arial"/>
          <w:sz w:val="24"/>
          <w:szCs w:val="24"/>
        </w:rPr>
        <w:t>,</w:t>
      </w:r>
      <w:r w:rsidRPr="006A3AFC">
        <w:rPr>
          <w:rFonts w:cs="Arial"/>
          <w:sz w:val="24"/>
          <w:szCs w:val="24"/>
        </w:rPr>
        <w:t xml:space="preserve"> </w:t>
      </w:r>
      <w:r w:rsidR="00B331B2">
        <w:rPr>
          <w:rFonts w:cs="Arial"/>
          <w:sz w:val="24"/>
          <w:szCs w:val="24"/>
        </w:rPr>
        <w:t xml:space="preserve">whilst subject to the control of the Commonwealth </w:t>
      </w:r>
      <w:r w:rsidRPr="006A3AFC">
        <w:rPr>
          <w:rFonts w:cs="Arial"/>
          <w:sz w:val="24"/>
          <w:szCs w:val="24"/>
        </w:rPr>
        <w:t>between 1911 and 1978</w:t>
      </w:r>
      <w:r w:rsidR="00FC2638">
        <w:rPr>
          <w:rFonts w:cs="Arial"/>
          <w:sz w:val="24"/>
          <w:szCs w:val="24"/>
        </w:rPr>
        <w:t>,</w:t>
      </w:r>
      <w:r w:rsidRPr="006A3AFC">
        <w:rPr>
          <w:rFonts w:cs="Arial"/>
          <w:sz w:val="24"/>
          <w:szCs w:val="24"/>
        </w:rPr>
        <w:t xml:space="preserve"> give</w:t>
      </w:r>
      <w:r w:rsidR="00E80E6F">
        <w:rPr>
          <w:rFonts w:cs="Arial"/>
          <w:sz w:val="24"/>
          <w:szCs w:val="24"/>
        </w:rPr>
        <w:t>s</w:t>
      </w:r>
      <w:r w:rsidRPr="006A3AFC">
        <w:rPr>
          <w:rFonts w:cs="Arial"/>
          <w:sz w:val="24"/>
          <w:szCs w:val="24"/>
        </w:rPr>
        <w:t xml:space="preserve"> rise to the Constitutional requirement for the government to provide native title holders with just and fair compensation. </w:t>
      </w:r>
    </w:p>
    <w:p w14:paraId="48DAFBE4" w14:textId="4F257A1C" w:rsidR="006A3AFC" w:rsidRPr="00B331B2" w:rsidRDefault="00B331B2" w:rsidP="006A3AFC">
      <w:pPr>
        <w:spacing w:before="120" w:after="120" w:line="240" w:lineRule="auto"/>
        <w:jc w:val="both"/>
        <w:rPr>
          <w:rFonts w:cs="Arial"/>
          <w:sz w:val="24"/>
          <w:szCs w:val="24"/>
        </w:rPr>
      </w:pPr>
      <w:r w:rsidRPr="007D0AEE">
        <w:rPr>
          <w:rFonts w:cs="Arial"/>
          <w:sz w:val="24"/>
          <w:szCs w:val="24"/>
        </w:rPr>
        <w:t xml:space="preserve">The decision is a </w:t>
      </w:r>
      <w:r>
        <w:rPr>
          <w:rFonts w:cs="Arial"/>
          <w:sz w:val="24"/>
          <w:szCs w:val="24"/>
        </w:rPr>
        <w:t xml:space="preserve">confirmation of existing case law confirming the equal treatment of property rights of all Australians </w:t>
      </w:r>
      <w:r w:rsidRPr="00B331B2">
        <w:rPr>
          <w:rFonts w:cs="Arial"/>
          <w:sz w:val="24"/>
          <w:szCs w:val="24"/>
        </w:rPr>
        <w:t xml:space="preserve">under the law. It </w:t>
      </w:r>
      <w:r w:rsidR="00B2791D" w:rsidRPr="00B331B2">
        <w:rPr>
          <w:rFonts w:cs="Arial"/>
          <w:sz w:val="24"/>
          <w:szCs w:val="24"/>
        </w:rPr>
        <w:t xml:space="preserve">determined that the extinguishment of native title under a law of the </w:t>
      </w:r>
      <w:r w:rsidR="00F5228C">
        <w:rPr>
          <w:rFonts w:cs="Arial"/>
          <w:sz w:val="24"/>
          <w:szCs w:val="24"/>
        </w:rPr>
        <w:t>C</w:t>
      </w:r>
      <w:r w:rsidR="00B2791D" w:rsidRPr="00B331B2">
        <w:rPr>
          <w:rFonts w:cs="Arial"/>
          <w:sz w:val="24"/>
          <w:szCs w:val="24"/>
        </w:rPr>
        <w:t xml:space="preserve">ommonwealth prior to the introduction of the </w:t>
      </w:r>
      <w:r w:rsidR="00B2791D" w:rsidRPr="00B331B2">
        <w:rPr>
          <w:rFonts w:cs="Arial"/>
          <w:i/>
          <w:iCs/>
          <w:sz w:val="24"/>
          <w:szCs w:val="24"/>
        </w:rPr>
        <w:t>Native Title Ac</w:t>
      </w:r>
      <w:r w:rsidR="00B2791D" w:rsidRPr="00B331B2">
        <w:rPr>
          <w:rFonts w:cs="Arial"/>
          <w:sz w:val="24"/>
          <w:szCs w:val="24"/>
        </w:rPr>
        <w:t>t constituted an acquisition of property within the meaning of s</w:t>
      </w:r>
      <w:r w:rsidR="00F5228C">
        <w:rPr>
          <w:rFonts w:cs="Arial"/>
          <w:sz w:val="24"/>
          <w:szCs w:val="24"/>
        </w:rPr>
        <w:t xml:space="preserve">. </w:t>
      </w:r>
      <w:r w:rsidR="00B2791D" w:rsidRPr="00B331B2">
        <w:rPr>
          <w:rFonts w:cs="Arial"/>
          <w:sz w:val="24"/>
          <w:szCs w:val="24"/>
        </w:rPr>
        <w:t xml:space="preserve">51(31) of the Constitution. </w:t>
      </w:r>
    </w:p>
    <w:p w14:paraId="66DD58AE" w14:textId="77777777" w:rsidR="00E80E6F" w:rsidRDefault="006A3AFC" w:rsidP="006A3AFC">
      <w:pPr>
        <w:spacing w:before="120" w:after="120" w:line="240" w:lineRule="auto"/>
        <w:jc w:val="both"/>
        <w:rPr>
          <w:rFonts w:cs="Arial"/>
          <w:sz w:val="24"/>
          <w:szCs w:val="24"/>
        </w:rPr>
      </w:pPr>
      <w:r w:rsidRPr="00B331B2">
        <w:rPr>
          <w:rFonts w:cs="Arial"/>
          <w:b/>
          <w:bCs/>
          <w:sz w:val="24"/>
          <w:szCs w:val="24"/>
        </w:rPr>
        <w:t>NNTC Chair, Kado Muir</w:t>
      </w:r>
      <w:r w:rsidRPr="00B331B2">
        <w:rPr>
          <w:rFonts w:cs="Arial"/>
          <w:sz w:val="24"/>
          <w:szCs w:val="24"/>
        </w:rPr>
        <w:t>, congratulated the Gumatj Clan and paid respect to the Yunupingu family, saying</w:t>
      </w:r>
      <w:r w:rsidR="00E80E6F">
        <w:rPr>
          <w:rFonts w:cs="Arial"/>
          <w:sz w:val="24"/>
          <w:szCs w:val="24"/>
        </w:rPr>
        <w:t>,</w:t>
      </w:r>
    </w:p>
    <w:p w14:paraId="477E562A" w14:textId="68C90E87" w:rsidR="006A3AFC" w:rsidRPr="00E80E6F" w:rsidRDefault="006A3AFC" w:rsidP="00E80E6F">
      <w:pPr>
        <w:spacing w:before="120" w:after="120" w:line="240" w:lineRule="auto"/>
        <w:ind w:left="720"/>
        <w:jc w:val="both"/>
        <w:rPr>
          <w:rFonts w:cs="Arial"/>
          <w:b/>
          <w:bCs/>
          <w:sz w:val="24"/>
          <w:szCs w:val="24"/>
        </w:rPr>
      </w:pPr>
      <w:r w:rsidRPr="00E80E6F">
        <w:rPr>
          <w:rFonts w:cs="Arial"/>
          <w:sz w:val="24"/>
          <w:szCs w:val="24"/>
        </w:rPr>
        <w:t xml:space="preserve">“This decision realises the vision of Mr Yunupingu and the Gumatj Clan </w:t>
      </w:r>
      <w:r w:rsidR="00E80E6F">
        <w:rPr>
          <w:rFonts w:cs="Arial"/>
          <w:sz w:val="24"/>
          <w:szCs w:val="24"/>
        </w:rPr>
        <w:t>who continue to fi</w:t>
      </w:r>
      <w:r w:rsidRPr="00E80E6F">
        <w:rPr>
          <w:rFonts w:cs="Arial"/>
          <w:sz w:val="24"/>
          <w:szCs w:val="24"/>
        </w:rPr>
        <w:t>ght for land and native title rights to be recognised and respected not just in the Northern Territory, but all across our various Countries. The Gumatj decision shows that when our sacred lands are taken away, we are entitled to receive compensation on just terms in accordance with s.</w:t>
      </w:r>
      <w:r w:rsidR="00F5228C">
        <w:rPr>
          <w:rFonts w:cs="Arial"/>
          <w:sz w:val="24"/>
          <w:szCs w:val="24"/>
        </w:rPr>
        <w:t xml:space="preserve"> </w:t>
      </w:r>
      <w:r w:rsidRPr="00E80E6F">
        <w:rPr>
          <w:rFonts w:cs="Arial"/>
          <w:sz w:val="24"/>
          <w:szCs w:val="24"/>
        </w:rPr>
        <w:t>51(31) of the Constitution, in the same way as any other citizen of Australia.”</w:t>
      </w:r>
    </w:p>
    <w:p w14:paraId="505C6CCD" w14:textId="2F12CED7" w:rsidR="00591538" w:rsidRPr="00B331B2" w:rsidRDefault="00591538" w:rsidP="006A3AFC">
      <w:pPr>
        <w:spacing w:before="120" w:after="120" w:line="240" w:lineRule="auto"/>
        <w:jc w:val="both"/>
        <w:rPr>
          <w:rFonts w:cs="Arial"/>
          <w:sz w:val="24"/>
          <w:szCs w:val="24"/>
        </w:rPr>
      </w:pPr>
      <w:r w:rsidRPr="00B331B2">
        <w:rPr>
          <w:rFonts w:cs="Arial"/>
          <w:sz w:val="24"/>
          <w:szCs w:val="24"/>
        </w:rPr>
        <w:t xml:space="preserve">The Court made no decision regarding the </w:t>
      </w:r>
      <w:r w:rsidRPr="00B331B2">
        <w:rPr>
          <w:rFonts w:cs="Arial"/>
          <w:i/>
          <w:iCs/>
          <w:sz w:val="24"/>
          <w:szCs w:val="24"/>
        </w:rPr>
        <w:t>amount</w:t>
      </w:r>
      <w:r w:rsidRPr="00B331B2">
        <w:rPr>
          <w:rFonts w:cs="Arial"/>
          <w:sz w:val="24"/>
          <w:szCs w:val="24"/>
        </w:rPr>
        <w:t xml:space="preserve"> of compensation that was due to be paid to the Gumatj Traditional Owners in today’s judgment. The question of the amount (quantum) of compensation will be referred back to the Federal Court to determine. Once the issue of quantum of compensation is determined the award arising from today’s judgment, will support real economic empowerment for the Gumatj peoples.</w:t>
      </w:r>
    </w:p>
    <w:p w14:paraId="2C041198" w14:textId="3323BB67" w:rsidR="00E80E6F" w:rsidRDefault="006A3AFC" w:rsidP="006A3AFC">
      <w:pPr>
        <w:spacing w:before="120" w:after="120" w:line="240" w:lineRule="auto"/>
        <w:jc w:val="both"/>
        <w:rPr>
          <w:rFonts w:cs="Arial"/>
          <w:sz w:val="24"/>
          <w:szCs w:val="24"/>
        </w:rPr>
      </w:pPr>
      <w:r w:rsidRPr="00B331B2">
        <w:rPr>
          <w:rFonts w:cs="Arial"/>
          <w:b/>
          <w:bCs/>
          <w:sz w:val="24"/>
          <w:szCs w:val="24"/>
        </w:rPr>
        <w:t>NNTC CEO, Jamie Lowe</w:t>
      </w:r>
      <w:r w:rsidRPr="00B331B2">
        <w:rPr>
          <w:rFonts w:cs="Arial"/>
          <w:sz w:val="24"/>
          <w:szCs w:val="24"/>
        </w:rPr>
        <w:t>, said</w:t>
      </w:r>
      <w:r w:rsidR="00E80E6F">
        <w:rPr>
          <w:rFonts w:cs="Arial"/>
          <w:sz w:val="24"/>
          <w:szCs w:val="24"/>
        </w:rPr>
        <w:t>,</w:t>
      </w:r>
    </w:p>
    <w:p w14:paraId="5B9F9754" w14:textId="006B3605" w:rsidR="006A3AFC" w:rsidRPr="00E80E6F" w:rsidRDefault="006A3AFC" w:rsidP="00E80E6F">
      <w:pPr>
        <w:spacing w:before="120" w:after="120" w:line="240" w:lineRule="auto"/>
        <w:ind w:left="720"/>
        <w:jc w:val="both"/>
        <w:rPr>
          <w:rFonts w:cs="Arial"/>
          <w:sz w:val="24"/>
          <w:szCs w:val="24"/>
        </w:rPr>
      </w:pPr>
      <w:r w:rsidRPr="00E80E6F">
        <w:rPr>
          <w:rFonts w:cs="Arial"/>
          <w:sz w:val="24"/>
          <w:szCs w:val="24"/>
        </w:rPr>
        <w:t xml:space="preserve">“The High Court’s decision in Mabo recognised native title exists and dispelled the myth of “terra nullius”, and this decision today confirms the strength of native title. Native title is now not only recognised under Australian law but also clearly protected by the Constitution - the same as any other ordinary land title or property.” </w:t>
      </w:r>
    </w:p>
    <w:p w14:paraId="6993A2E5" w14:textId="77777777" w:rsidR="006B67C9" w:rsidRDefault="006B67C9" w:rsidP="006A3AFC">
      <w:pPr>
        <w:spacing w:before="120" w:after="120" w:line="240" w:lineRule="auto"/>
        <w:jc w:val="both"/>
        <w:rPr>
          <w:rFonts w:cs="Arial"/>
          <w:b/>
          <w:bCs/>
          <w:sz w:val="24"/>
          <w:szCs w:val="24"/>
        </w:rPr>
      </w:pPr>
    </w:p>
    <w:p w14:paraId="3D8130CB" w14:textId="77777777" w:rsidR="006B67C9" w:rsidRDefault="006B67C9" w:rsidP="006A3AFC">
      <w:pPr>
        <w:spacing w:before="120" w:after="120" w:line="240" w:lineRule="auto"/>
        <w:jc w:val="both"/>
        <w:rPr>
          <w:rFonts w:cs="Arial"/>
          <w:b/>
          <w:bCs/>
          <w:sz w:val="24"/>
          <w:szCs w:val="24"/>
        </w:rPr>
      </w:pPr>
    </w:p>
    <w:p w14:paraId="433775A9" w14:textId="5FDD07CD" w:rsidR="00E80E6F" w:rsidRDefault="006A3AFC" w:rsidP="006A3AFC">
      <w:pPr>
        <w:spacing w:before="120" w:after="120" w:line="240" w:lineRule="auto"/>
        <w:jc w:val="both"/>
        <w:rPr>
          <w:rFonts w:cs="Arial"/>
          <w:sz w:val="24"/>
          <w:szCs w:val="24"/>
        </w:rPr>
      </w:pPr>
      <w:r w:rsidRPr="00F5228C">
        <w:rPr>
          <w:rFonts w:cs="Arial"/>
          <w:b/>
          <w:bCs/>
          <w:sz w:val="24"/>
          <w:szCs w:val="24"/>
        </w:rPr>
        <w:lastRenderedPageBreak/>
        <w:t>Mr Lowe</w:t>
      </w:r>
      <w:r w:rsidRPr="00B331B2">
        <w:rPr>
          <w:rFonts w:cs="Arial"/>
          <w:sz w:val="24"/>
          <w:szCs w:val="24"/>
        </w:rPr>
        <w:t xml:space="preserve"> also said</w:t>
      </w:r>
      <w:r w:rsidR="00E80E6F">
        <w:rPr>
          <w:rFonts w:cs="Arial"/>
          <w:sz w:val="24"/>
          <w:szCs w:val="24"/>
        </w:rPr>
        <w:t>,</w:t>
      </w:r>
    </w:p>
    <w:p w14:paraId="52E552BF" w14:textId="41A99E20" w:rsidR="00591538" w:rsidRPr="00E80E6F" w:rsidRDefault="006A3AFC" w:rsidP="00E80E6F">
      <w:pPr>
        <w:spacing w:before="120" w:after="120" w:line="240" w:lineRule="auto"/>
        <w:ind w:left="720"/>
        <w:jc w:val="both"/>
        <w:rPr>
          <w:rFonts w:cs="Arial"/>
          <w:b/>
          <w:bCs/>
          <w:sz w:val="24"/>
          <w:szCs w:val="24"/>
        </w:rPr>
      </w:pPr>
      <w:r w:rsidRPr="00E80E6F">
        <w:rPr>
          <w:rFonts w:cs="Arial"/>
          <w:sz w:val="24"/>
          <w:szCs w:val="24"/>
        </w:rPr>
        <w:t xml:space="preserve">“Where the Commonwealth, States or Territories have acted in a way that fails to respect Constitutional or other legal protections, then it is common sense that there will be redress. This ought to be seen as an opportunity to economically empower communities who have been historically dispossessed. It is not controversial that the communities impacted by projects on their Country should benefit from the wealth generated through those projects.” </w:t>
      </w:r>
    </w:p>
    <w:p w14:paraId="54F9272D" w14:textId="77777777" w:rsidR="00E80E6F" w:rsidRDefault="006A3AFC" w:rsidP="00EC1944">
      <w:pPr>
        <w:spacing w:before="120" w:after="120" w:line="240" w:lineRule="auto"/>
        <w:jc w:val="both"/>
        <w:rPr>
          <w:rFonts w:cs="Arial"/>
          <w:sz w:val="24"/>
          <w:szCs w:val="24"/>
        </w:rPr>
      </w:pPr>
      <w:r w:rsidRPr="00B331B2">
        <w:rPr>
          <w:rFonts w:cs="Arial"/>
          <w:b/>
          <w:bCs/>
          <w:sz w:val="24"/>
          <w:szCs w:val="24"/>
        </w:rPr>
        <w:t>NNTC Director of Native Title, Clinton Benjamin</w:t>
      </w:r>
      <w:r w:rsidRPr="006A3AFC">
        <w:rPr>
          <w:rFonts w:cs="Arial"/>
          <w:sz w:val="24"/>
          <w:szCs w:val="24"/>
        </w:rPr>
        <w:t xml:space="preserve">, </w:t>
      </w:r>
      <w:r w:rsidRPr="00B331B2">
        <w:rPr>
          <w:rFonts w:cs="Arial"/>
          <w:sz w:val="24"/>
          <w:szCs w:val="24"/>
        </w:rPr>
        <w:t>said</w:t>
      </w:r>
      <w:r w:rsidR="00E80E6F">
        <w:rPr>
          <w:rFonts w:cs="Arial"/>
          <w:sz w:val="24"/>
          <w:szCs w:val="24"/>
        </w:rPr>
        <w:t>,</w:t>
      </w:r>
    </w:p>
    <w:p w14:paraId="69B46AF8" w14:textId="2070F74D" w:rsidR="00E80E6F" w:rsidRPr="00E80E6F" w:rsidRDefault="006A3AFC" w:rsidP="00E80E6F">
      <w:pPr>
        <w:spacing w:before="120" w:after="120" w:line="240" w:lineRule="auto"/>
        <w:ind w:left="720"/>
        <w:jc w:val="both"/>
        <w:rPr>
          <w:rFonts w:cs="Arial"/>
          <w:sz w:val="24"/>
          <w:szCs w:val="24"/>
        </w:rPr>
      </w:pPr>
      <w:r w:rsidRPr="00E80E6F">
        <w:rPr>
          <w:rFonts w:cs="Arial"/>
          <w:sz w:val="24"/>
          <w:szCs w:val="24"/>
        </w:rPr>
        <w:t xml:space="preserve">“We welcome the Court providing </w:t>
      </w:r>
      <w:r w:rsidR="000617B3" w:rsidRPr="00E80E6F">
        <w:rPr>
          <w:rFonts w:cs="Arial"/>
          <w:sz w:val="24"/>
          <w:szCs w:val="24"/>
        </w:rPr>
        <w:t xml:space="preserve">much needed </w:t>
      </w:r>
      <w:r w:rsidRPr="00E80E6F">
        <w:rPr>
          <w:rFonts w:cs="Arial"/>
          <w:sz w:val="24"/>
          <w:szCs w:val="24"/>
        </w:rPr>
        <w:t xml:space="preserve">clarity on how </w:t>
      </w:r>
      <w:r w:rsidR="008E1C02" w:rsidRPr="00E80E6F">
        <w:rPr>
          <w:rFonts w:cs="Arial"/>
          <w:sz w:val="24"/>
          <w:szCs w:val="24"/>
        </w:rPr>
        <w:t xml:space="preserve">a right to </w:t>
      </w:r>
      <w:r w:rsidRPr="00E80E6F">
        <w:rPr>
          <w:rFonts w:cs="Arial"/>
          <w:sz w:val="24"/>
          <w:szCs w:val="24"/>
        </w:rPr>
        <w:t>native title compensation</w:t>
      </w:r>
      <w:r w:rsidR="008E1C02" w:rsidRPr="00E80E6F">
        <w:rPr>
          <w:rFonts w:cs="Arial"/>
          <w:sz w:val="24"/>
          <w:szCs w:val="24"/>
        </w:rPr>
        <w:t xml:space="preserve"> arises in practic</w:t>
      </w:r>
      <w:r w:rsidR="00E80E6F" w:rsidRPr="00E80E6F">
        <w:rPr>
          <w:rFonts w:cs="Arial"/>
          <w:sz w:val="24"/>
          <w:szCs w:val="24"/>
        </w:rPr>
        <w:t>e</w:t>
      </w:r>
      <w:r w:rsidRPr="00E80E6F">
        <w:rPr>
          <w:rFonts w:cs="Arial"/>
          <w:sz w:val="24"/>
          <w:szCs w:val="24"/>
        </w:rPr>
        <w:t xml:space="preserve">. </w:t>
      </w:r>
      <w:r w:rsidR="008E1C02" w:rsidRPr="00E80E6F">
        <w:rPr>
          <w:rFonts w:cs="Arial"/>
          <w:sz w:val="24"/>
          <w:szCs w:val="24"/>
        </w:rPr>
        <w:t xml:space="preserve">The case </w:t>
      </w:r>
      <w:r w:rsidR="00FC0313" w:rsidRPr="00E80E6F">
        <w:rPr>
          <w:rFonts w:cs="Arial"/>
          <w:sz w:val="24"/>
          <w:szCs w:val="24"/>
        </w:rPr>
        <w:t xml:space="preserve">builds on the significant </w:t>
      </w:r>
      <w:r w:rsidR="00FC0313" w:rsidRPr="00E80E6F">
        <w:rPr>
          <w:rFonts w:cs="Arial"/>
          <w:i/>
          <w:iCs/>
          <w:sz w:val="24"/>
          <w:szCs w:val="24"/>
        </w:rPr>
        <w:t xml:space="preserve">Griffiths v Northern </w:t>
      </w:r>
      <w:r w:rsidR="00EC1944" w:rsidRPr="00E80E6F">
        <w:rPr>
          <w:rFonts w:cs="Arial"/>
          <w:i/>
          <w:iCs/>
          <w:sz w:val="24"/>
          <w:szCs w:val="24"/>
        </w:rPr>
        <w:t>Territory (Timber Creek)</w:t>
      </w:r>
      <w:r w:rsidR="00EC1944" w:rsidRPr="00E80E6F">
        <w:rPr>
          <w:rFonts w:cs="Arial"/>
          <w:sz w:val="24"/>
          <w:szCs w:val="24"/>
        </w:rPr>
        <w:t xml:space="preserve"> native title compensation decision. </w:t>
      </w:r>
      <w:r w:rsidR="00997503" w:rsidRPr="00E80E6F">
        <w:rPr>
          <w:rFonts w:cs="Arial"/>
          <w:sz w:val="24"/>
          <w:szCs w:val="24"/>
        </w:rPr>
        <w:t>In today’s decision the High Court has repeated and reinforced what was said in Mabo No 2 that the “fundamental consideration</w:t>
      </w:r>
      <w:r w:rsidR="00806E50" w:rsidRPr="00E80E6F">
        <w:rPr>
          <w:rFonts w:cs="Arial"/>
          <w:sz w:val="24"/>
          <w:szCs w:val="24"/>
        </w:rPr>
        <w:t xml:space="preserve">” was to </w:t>
      </w:r>
      <w:r w:rsidR="00997503" w:rsidRPr="00E80E6F">
        <w:rPr>
          <w:rFonts w:cs="Arial"/>
          <w:sz w:val="24"/>
          <w:szCs w:val="24"/>
        </w:rPr>
        <w:t>bring the common law into conformity with "the values</w:t>
      </w:r>
      <w:r w:rsidR="00806E50" w:rsidRPr="00E80E6F">
        <w:rPr>
          <w:rFonts w:cs="Arial"/>
          <w:sz w:val="24"/>
          <w:szCs w:val="24"/>
        </w:rPr>
        <w:t xml:space="preserve"> </w:t>
      </w:r>
      <w:r w:rsidR="00997503" w:rsidRPr="00E80E6F">
        <w:rPr>
          <w:rFonts w:cs="Arial"/>
          <w:sz w:val="24"/>
          <w:szCs w:val="24"/>
        </w:rPr>
        <w:t>of justice and human rights (especially equality before the law) which are</w:t>
      </w:r>
      <w:r w:rsidR="00806E50" w:rsidRPr="00E80E6F">
        <w:rPr>
          <w:rFonts w:cs="Arial"/>
          <w:sz w:val="24"/>
          <w:szCs w:val="24"/>
        </w:rPr>
        <w:t xml:space="preserve"> </w:t>
      </w:r>
      <w:r w:rsidR="00997503" w:rsidRPr="00E80E6F">
        <w:rPr>
          <w:rFonts w:cs="Arial"/>
          <w:sz w:val="24"/>
          <w:szCs w:val="24"/>
        </w:rPr>
        <w:t>aspirations of the contemporary Australian legal system"</w:t>
      </w:r>
      <w:r w:rsidR="00806E50" w:rsidRPr="00E80E6F">
        <w:rPr>
          <w:rFonts w:cs="Arial"/>
          <w:sz w:val="24"/>
          <w:szCs w:val="24"/>
        </w:rPr>
        <w:t xml:space="preserve">. </w:t>
      </w:r>
    </w:p>
    <w:p w14:paraId="47434044" w14:textId="37DE3938" w:rsidR="006A3AFC" w:rsidRDefault="009F3FE2" w:rsidP="00E80E6F">
      <w:pPr>
        <w:spacing w:before="120" w:after="120" w:line="240" w:lineRule="auto"/>
        <w:jc w:val="both"/>
        <w:rPr>
          <w:rFonts w:cs="Arial"/>
          <w:sz w:val="24"/>
          <w:szCs w:val="24"/>
        </w:rPr>
      </w:pPr>
      <w:r w:rsidRPr="00F5228C">
        <w:rPr>
          <w:rFonts w:cs="Arial"/>
          <w:b/>
          <w:bCs/>
          <w:sz w:val="24"/>
          <w:szCs w:val="24"/>
        </w:rPr>
        <w:t>M</w:t>
      </w:r>
      <w:r w:rsidR="00E80E6F" w:rsidRPr="00F5228C">
        <w:rPr>
          <w:rFonts w:cs="Arial"/>
          <w:b/>
          <w:bCs/>
          <w:sz w:val="24"/>
          <w:szCs w:val="24"/>
        </w:rPr>
        <w:t>r</w:t>
      </w:r>
      <w:r w:rsidRPr="00F5228C">
        <w:rPr>
          <w:rFonts w:cs="Arial"/>
          <w:b/>
          <w:bCs/>
          <w:sz w:val="24"/>
          <w:szCs w:val="24"/>
        </w:rPr>
        <w:t xml:space="preserve"> Benjamin</w:t>
      </w:r>
      <w:r w:rsidRPr="00E80E6F">
        <w:rPr>
          <w:rFonts w:cs="Arial"/>
          <w:sz w:val="24"/>
          <w:szCs w:val="24"/>
        </w:rPr>
        <w:t xml:space="preserve"> concluded</w:t>
      </w:r>
      <w:r w:rsidR="00E80E6F">
        <w:rPr>
          <w:rFonts w:cs="Arial"/>
          <w:sz w:val="24"/>
          <w:szCs w:val="24"/>
        </w:rPr>
        <w:t>,</w:t>
      </w:r>
    </w:p>
    <w:p w14:paraId="3CE92F8C" w14:textId="3A9DFAAB" w:rsidR="006A3AFC" w:rsidRPr="006A3AFC" w:rsidRDefault="00E80E6F" w:rsidP="00E80E6F">
      <w:pPr>
        <w:spacing w:before="120" w:after="120" w:line="240" w:lineRule="auto"/>
        <w:ind w:left="720"/>
        <w:jc w:val="both"/>
        <w:rPr>
          <w:rFonts w:cs="Arial"/>
          <w:sz w:val="24"/>
          <w:szCs w:val="24"/>
        </w:rPr>
      </w:pPr>
      <w:r>
        <w:rPr>
          <w:rFonts w:cs="Arial"/>
          <w:sz w:val="24"/>
          <w:szCs w:val="24"/>
        </w:rPr>
        <w:t>“</w:t>
      </w:r>
      <w:r w:rsidRPr="00E80E6F">
        <w:rPr>
          <w:rFonts w:cs="Arial"/>
          <w:sz w:val="24"/>
          <w:szCs w:val="24"/>
        </w:rPr>
        <w:t>This is an important day for the protection of the fundamental human rights of all Australians</w:t>
      </w:r>
      <w:r w:rsidR="00F5228C">
        <w:rPr>
          <w:rFonts w:cs="Arial"/>
          <w:sz w:val="24"/>
          <w:szCs w:val="24"/>
        </w:rPr>
        <w:t>.</w:t>
      </w:r>
      <w:r w:rsidRPr="00E80E6F">
        <w:rPr>
          <w:rFonts w:cs="Arial"/>
          <w:sz w:val="24"/>
          <w:szCs w:val="24"/>
        </w:rPr>
        <w:t xml:space="preserve"> </w:t>
      </w:r>
      <w:r>
        <w:rPr>
          <w:rFonts w:cs="Arial"/>
          <w:sz w:val="24"/>
          <w:szCs w:val="24"/>
        </w:rPr>
        <w:t>Today’s decision further emphasises the strength of native title and our rights, interests and connections to Country. As Justice Gordon states, “I</w:t>
      </w:r>
      <w:r w:rsidRPr="00E80E6F">
        <w:rPr>
          <w:rFonts w:cs="Arial"/>
          <w:sz w:val="24"/>
          <w:szCs w:val="24"/>
        </w:rPr>
        <w:t>t is a connection which existed and persisted before and beyond settlement, before and beyond the assertion of sovereignty and before and beyond Federation. It is older and deeper than the Constitution.</w:t>
      </w:r>
      <w:r>
        <w:rPr>
          <w:rFonts w:cs="Arial"/>
          <w:sz w:val="24"/>
          <w:szCs w:val="24"/>
        </w:rPr>
        <w:t>”</w:t>
      </w:r>
    </w:p>
    <w:p w14:paraId="4B0EC973" w14:textId="77777777" w:rsidR="00F5228C" w:rsidRDefault="00F5228C" w:rsidP="006A3AFC">
      <w:pPr>
        <w:spacing w:before="120" w:after="120" w:line="240" w:lineRule="auto"/>
        <w:jc w:val="both"/>
        <w:rPr>
          <w:rFonts w:cs="Arial"/>
          <w:b/>
          <w:bCs/>
          <w:sz w:val="24"/>
          <w:szCs w:val="24"/>
        </w:rPr>
      </w:pPr>
    </w:p>
    <w:p w14:paraId="369843D7" w14:textId="77777777" w:rsidR="006B67C9" w:rsidRDefault="006B67C9" w:rsidP="006A3AFC">
      <w:pPr>
        <w:spacing w:before="120" w:after="120" w:line="240" w:lineRule="auto"/>
        <w:jc w:val="both"/>
        <w:rPr>
          <w:rFonts w:cs="Arial"/>
          <w:b/>
          <w:bCs/>
          <w:sz w:val="24"/>
          <w:szCs w:val="24"/>
        </w:rPr>
      </w:pPr>
    </w:p>
    <w:p w14:paraId="3EDA326C" w14:textId="7EA713DA" w:rsidR="00F5228C" w:rsidRDefault="006B67C9" w:rsidP="006B67C9">
      <w:pPr>
        <w:spacing w:before="120" w:after="120" w:line="240" w:lineRule="auto"/>
        <w:jc w:val="right"/>
        <w:rPr>
          <w:rFonts w:cs="Arial"/>
          <w:b/>
          <w:bCs/>
          <w:sz w:val="24"/>
          <w:szCs w:val="24"/>
        </w:rPr>
      </w:pPr>
      <w:r>
        <w:rPr>
          <w:rFonts w:cs="Arial"/>
          <w:b/>
          <w:bCs/>
          <w:sz w:val="24"/>
          <w:szCs w:val="24"/>
        </w:rPr>
        <w:t xml:space="preserve">--- </w:t>
      </w:r>
      <w:r w:rsidR="00F5228C">
        <w:rPr>
          <w:rFonts w:cs="Arial"/>
          <w:b/>
          <w:bCs/>
          <w:sz w:val="24"/>
          <w:szCs w:val="24"/>
        </w:rPr>
        <w:t>END</w:t>
      </w:r>
      <w:r>
        <w:rPr>
          <w:rFonts w:cs="Arial"/>
          <w:b/>
          <w:bCs/>
          <w:sz w:val="24"/>
          <w:szCs w:val="24"/>
        </w:rPr>
        <w:t xml:space="preserve"> ---</w:t>
      </w:r>
    </w:p>
    <w:p w14:paraId="7F7870BD" w14:textId="77777777" w:rsidR="00F5228C" w:rsidRDefault="00F5228C" w:rsidP="006A3AFC">
      <w:pPr>
        <w:spacing w:before="120" w:after="120" w:line="240" w:lineRule="auto"/>
        <w:jc w:val="both"/>
        <w:rPr>
          <w:rFonts w:cs="Arial"/>
          <w:b/>
          <w:bCs/>
          <w:sz w:val="24"/>
          <w:szCs w:val="24"/>
        </w:rPr>
      </w:pPr>
    </w:p>
    <w:p w14:paraId="57549875" w14:textId="77777777" w:rsidR="00CB0D02" w:rsidRDefault="00CB0D02">
      <w:pPr>
        <w:rPr>
          <w:rFonts w:cs="Arial"/>
          <w:b/>
          <w:bCs/>
          <w:sz w:val="24"/>
          <w:szCs w:val="24"/>
        </w:rPr>
      </w:pPr>
    </w:p>
    <w:p w14:paraId="079E893E" w14:textId="77777777" w:rsidR="00CB0D02" w:rsidRDefault="00CB0D02">
      <w:pPr>
        <w:rPr>
          <w:rFonts w:cs="Arial"/>
          <w:b/>
          <w:bCs/>
          <w:sz w:val="24"/>
          <w:szCs w:val="24"/>
        </w:rPr>
      </w:pPr>
    </w:p>
    <w:p w14:paraId="4F89ADA5" w14:textId="5C5D7000" w:rsidR="00CB0D02" w:rsidRDefault="006B67C9">
      <w:pPr>
        <w:rPr>
          <w:rFonts w:cs="Arial"/>
          <w:b/>
          <w:bCs/>
          <w:sz w:val="24"/>
          <w:szCs w:val="24"/>
        </w:rPr>
      </w:pPr>
      <w:r>
        <w:rPr>
          <w:rFonts w:cs="Arial"/>
          <w:b/>
          <w:bCs/>
          <w:sz w:val="24"/>
          <w:szCs w:val="24"/>
        </w:rPr>
        <w:t>MEDIA CONTACT</w:t>
      </w:r>
    </w:p>
    <w:p w14:paraId="2E4ACF9E" w14:textId="17EFA4A0" w:rsidR="008240E5" w:rsidRDefault="008240E5">
      <w:pPr>
        <w:rPr>
          <w:rFonts w:cs="Arial"/>
          <w:b/>
          <w:bCs/>
          <w:sz w:val="24"/>
          <w:szCs w:val="24"/>
        </w:rPr>
      </w:pPr>
      <w:r>
        <w:rPr>
          <w:rFonts w:cs="Arial"/>
          <w:b/>
          <w:bCs/>
          <w:sz w:val="24"/>
          <w:szCs w:val="24"/>
        </w:rPr>
        <w:t xml:space="preserve">For all media enquiries please contact Sarah Easson, Head of Media Relations on </w:t>
      </w:r>
      <w:r w:rsidR="000C4016">
        <w:rPr>
          <w:rFonts w:cs="Arial"/>
          <w:b/>
          <w:bCs/>
          <w:sz w:val="24"/>
          <w:szCs w:val="24"/>
        </w:rPr>
        <w:t xml:space="preserve">               </w:t>
      </w:r>
      <w:r>
        <w:rPr>
          <w:rFonts w:cs="Arial"/>
          <w:b/>
          <w:bCs/>
          <w:sz w:val="24"/>
          <w:szCs w:val="24"/>
        </w:rPr>
        <w:t xml:space="preserve">E: </w:t>
      </w:r>
      <w:hyperlink r:id="rId11" w:history="1">
        <w:r w:rsidRPr="00A52633">
          <w:rPr>
            <w:rStyle w:val="Hyperlink"/>
            <w:rFonts w:cs="Arial"/>
            <w:b/>
            <w:bCs/>
            <w:sz w:val="24"/>
            <w:szCs w:val="24"/>
          </w:rPr>
          <w:t>sarah.easson@nntc.com.au</w:t>
        </w:r>
      </w:hyperlink>
      <w:r>
        <w:rPr>
          <w:rFonts w:cs="Arial"/>
          <w:b/>
          <w:bCs/>
          <w:sz w:val="24"/>
          <w:szCs w:val="24"/>
        </w:rPr>
        <w:t xml:space="preserve">  or Mobile: 0419 228 642</w:t>
      </w:r>
    </w:p>
    <w:p w14:paraId="3666A6FA" w14:textId="77777777" w:rsidR="00CB0D02" w:rsidRDefault="00CB0D02">
      <w:pPr>
        <w:rPr>
          <w:rFonts w:cs="Arial"/>
          <w:b/>
          <w:bCs/>
          <w:sz w:val="24"/>
          <w:szCs w:val="24"/>
        </w:rPr>
      </w:pPr>
    </w:p>
    <w:p w14:paraId="4ABBEA5D" w14:textId="77777777" w:rsidR="00CB0D02" w:rsidRDefault="00CB0D02">
      <w:pPr>
        <w:rPr>
          <w:rFonts w:cs="Arial"/>
          <w:b/>
          <w:bCs/>
          <w:sz w:val="24"/>
          <w:szCs w:val="24"/>
        </w:rPr>
      </w:pPr>
    </w:p>
    <w:p w14:paraId="6ED200D1" w14:textId="3B919D46" w:rsidR="006B67C9" w:rsidRDefault="00CB0D02">
      <w:pPr>
        <w:rPr>
          <w:rFonts w:cs="Arial"/>
          <w:b/>
          <w:bCs/>
          <w:sz w:val="24"/>
          <w:szCs w:val="24"/>
        </w:rPr>
      </w:pPr>
      <w:r>
        <w:rPr>
          <w:rFonts w:cs="Arial"/>
          <w:b/>
          <w:bCs/>
          <w:sz w:val="24"/>
          <w:szCs w:val="24"/>
        </w:rPr>
        <w:t>BACKGROUND INFORMATION page 3</w:t>
      </w:r>
      <w:r w:rsidR="006B67C9">
        <w:rPr>
          <w:rFonts w:cs="Arial"/>
          <w:b/>
          <w:bCs/>
          <w:sz w:val="24"/>
          <w:szCs w:val="24"/>
        </w:rPr>
        <w:br w:type="page"/>
      </w:r>
    </w:p>
    <w:p w14:paraId="58D1E021" w14:textId="0A6F6713" w:rsidR="006A3AFC" w:rsidRPr="006B67C9" w:rsidRDefault="006A3AFC" w:rsidP="006A3AFC">
      <w:pPr>
        <w:spacing w:before="120" w:after="120" w:line="240" w:lineRule="auto"/>
        <w:jc w:val="both"/>
        <w:rPr>
          <w:rFonts w:cs="Arial"/>
          <w:b/>
          <w:bCs/>
          <w:sz w:val="28"/>
          <w:szCs w:val="28"/>
        </w:rPr>
      </w:pPr>
      <w:r w:rsidRPr="006B67C9">
        <w:rPr>
          <w:rFonts w:cs="Arial"/>
          <w:b/>
          <w:bCs/>
          <w:sz w:val="28"/>
          <w:szCs w:val="28"/>
        </w:rPr>
        <w:lastRenderedPageBreak/>
        <w:t>Background</w:t>
      </w:r>
    </w:p>
    <w:p w14:paraId="6677D875" w14:textId="77777777" w:rsidR="006A3AFC" w:rsidRPr="006A3AFC" w:rsidRDefault="006A3AFC" w:rsidP="006A3AFC">
      <w:pPr>
        <w:spacing w:before="120" w:after="120" w:line="240" w:lineRule="auto"/>
        <w:jc w:val="both"/>
        <w:rPr>
          <w:rFonts w:cs="Arial"/>
          <w:sz w:val="24"/>
          <w:szCs w:val="24"/>
        </w:rPr>
      </w:pPr>
      <w:r w:rsidRPr="006A3AFC">
        <w:rPr>
          <w:rFonts w:cs="Arial"/>
          <w:sz w:val="24"/>
          <w:szCs w:val="24"/>
        </w:rPr>
        <w:t xml:space="preserve">The appeal to the High Court followed the 2023 decision of the Full Federal Court, which unanimously held that: </w:t>
      </w:r>
    </w:p>
    <w:p w14:paraId="1EB7F59F" w14:textId="4D860808" w:rsidR="006A3AFC" w:rsidRPr="006A3AFC" w:rsidRDefault="006A3AFC" w:rsidP="006A3AFC">
      <w:pPr>
        <w:pStyle w:val="ListParagraph"/>
        <w:numPr>
          <w:ilvl w:val="0"/>
          <w:numId w:val="18"/>
        </w:numPr>
        <w:spacing w:before="120" w:after="120" w:line="240" w:lineRule="auto"/>
        <w:jc w:val="both"/>
        <w:rPr>
          <w:rFonts w:cs="Arial"/>
          <w:sz w:val="24"/>
          <w:szCs w:val="24"/>
        </w:rPr>
      </w:pPr>
      <w:r w:rsidRPr="006A3AFC">
        <w:rPr>
          <w:rFonts w:cs="Arial"/>
          <w:sz w:val="24"/>
          <w:szCs w:val="24"/>
        </w:rPr>
        <w:t>the just terms requirement contained in s</w:t>
      </w:r>
      <w:r w:rsidR="00F5228C">
        <w:rPr>
          <w:rFonts w:cs="Arial"/>
          <w:sz w:val="24"/>
          <w:szCs w:val="24"/>
        </w:rPr>
        <w:t xml:space="preserve">. </w:t>
      </w:r>
      <w:r w:rsidRPr="006A3AFC">
        <w:rPr>
          <w:rFonts w:cs="Arial"/>
          <w:sz w:val="24"/>
          <w:szCs w:val="24"/>
        </w:rPr>
        <w:t xml:space="preserve">51(xxxi) of the Constitution applies to laws enacted pursuant to s 122 of the Constitution (the </w:t>
      </w:r>
      <w:r w:rsidRPr="006A3AFC">
        <w:rPr>
          <w:rFonts w:cs="Arial"/>
          <w:b/>
          <w:bCs/>
          <w:sz w:val="24"/>
          <w:szCs w:val="24"/>
        </w:rPr>
        <w:t>Territories power</w:t>
      </w:r>
      <w:r w:rsidRPr="006A3AFC">
        <w:rPr>
          <w:rFonts w:cs="Arial"/>
          <w:sz w:val="24"/>
          <w:szCs w:val="24"/>
        </w:rPr>
        <w:t xml:space="preserve">); and </w:t>
      </w:r>
    </w:p>
    <w:p w14:paraId="1C28842C" w14:textId="29EF07DB" w:rsidR="006A3AFC" w:rsidRPr="00B331B2" w:rsidRDefault="006A3AFC" w:rsidP="00B331B2">
      <w:pPr>
        <w:pStyle w:val="ListParagraph"/>
        <w:numPr>
          <w:ilvl w:val="0"/>
          <w:numId w:val="18"/>
        </w:numPr>
        <w:spacing w:before="120" w:after="120" w:line="240" w:lineRule="auto"/>
        <w:jc w:val="both"/>
        <w:rPr>
          <w:rFonts w:cs="Arial"/>
          <w:sz w:val="24"/>
          <w:szCs w:val="24"/>
        </w:rPr>
      </w:pPr>
      <w:r w:rsidRPr="006A3AFC">
        <w:rPr>
          <w:rFonts w:cs="Arial"/>
          <w:sz w:val="24"/>
          <w:szCs w:val="24"/>
        </w:rPr>
        <w:t>acts of the Commonwealth that extinguished or otherwise impacted the native title rights and interests of the Gumatj in the relevant time-period amounted to an acquisition of property and therefore protection under s</w:t>
      </w:r>
      <w:r w:rsidR="00F5228C">
        <w:rPr>
          <w:rFonts w:cs="Arial"/>
          <w:sz w:val="24"/>
          <w:szCs w:val="24"/>
        </w:rPr>
        <w:t>.</w:t>
      </w:r>
      <w:r w:rsidRPr="006A3AFC">
        <w:rPr>
          <w:rFonts w:cs="Arial"/>
          <w:sz w:val="24"/>
          <w:szCs w:val="24"/>
        </w:rPr>
        <w:t xml:space="preserve"> 51(xxxi) of the Constitution.  </w:t>
      </w:r>
    </w:p>
    <w:p w14:paraId="50F932DB" w14:textId="4959789F" w:rsidR="006A3AFC" w:rsidRPr="006A3AFC" w:rsidRDefault="006A3AFC" w:rsidP="006A3AFC">
      <w:pPr>
        <w:spacing w:before="120" w:after="120" w:line="240" w:lineRule="auto"/>
        <w:jc w:val="both"/>
        <w:rPr>
          <w:rFonts w:cs="Arial"/>
          <w:sz w:val="24"/>
          <w:szCs w:val="24"/>
        </w:rPr>
      </w:pPr>
      <w:r w:rsidRPr="006A3AFC">
        <w:rPr>
          <w:rFonts w:cs="Arial"/>
          <w:sz w:val="24"/>
          <w:szCs w:val="24"/>
        </w:rPr>
        <w:t xml:space="preserve">In August 2024, the High Court sat in Darwin for three days and heard submissions from the Commonwealth, the representatives of the Gumatj Clan, representatives of the Rirratjingu Clan, the Northern Territory and the Attorneys-General of the State of Western Australia, Queensland and the ACT.  </w:t>
      </w:r>
    </w:p>
    <w:p w14:paraId="5CBCC287" w14:textId="77777777" w:rsidR="00F5228C" w:rsidRDefault="006A3AFC" w:rsidP="006A3AFC">
      <w:pPr>
        <w:spacing w:before="120" w:after="120" w:line="240" w:lineRule="auto"/>
        <w:jc w:val="both"/>
        <w:rPr>
          <w:rFonts w:cs="Arial"/>
          <w:sz w:val="24"/>
          <w:szCs w:val="24"/>
        </w:rPr>
      </w:pPr>
      <w:r w:rsidRPr="006A3AFC">
        <w:rPr>
          <w:rFonts w:cs="Arial"/>
          <w:sz w:val="24"/>
          <w:szCs w:val="24"/>
        </w:rPr>
        <w:t xml:space="preserve">In its submissions, the Commonwealth argued that native title was a “fragile” form of property rights and inherently susceptible to extinguishment by the Commonwealth, without an acquisition of property occurring. On that basis, the Commonwealth argued that where native title was extinguished within the Gumatj claim area, the Constitution did not provide protection and did not provide an entitlement to compensation for native title holders. </w:t>
      </w:r>
    </w:p>
    <w:p w14:paraId="5AC833F5" w14:textId="77777777" w:rsidR="00F5228C" w:rsidRDefault="00CC0089" w:rsidP="006A3AFC">
      <w:pPr>
        <w:spacing w:before="120" w:after="120" w:line="240" w:lineRule="auto"/>
        <w:jc w:val="both"/>
        <w:rPr>
          <w:rFonts w:cs="Arial"/>
          <w:sz w:val="24"/>
          <w:szCs w:val="24"/>
        </w:rPr>
      </w:pPr>
      <w:r>
        <w:rPr>
          <w:rFonts w:cs="Arial"/>
          <w:sz w:val="24"/>
          <w:szCs w:val="24"/>
        </w:rPr>
        <w:t xml:space="preserve">The majority of Gageler CJ, Gleeson, Jagot and Beech-Jones JJ determined that </w:t>
      </w:r>
    </w:p>
    <w:p w14:paraId="1E681310" w14:textId="520D1414" w:rsidR="006A3AFC" w:rsidRPr="006A3AFC" w:rsidRDefault="00CC0089" w:rsidP="00F5228C">
      <w:pPr>
        <w:spacing w:before="120" w:after="120" w:line="240" w:lineRule="auto"/>
        <w:ind w:left="720"/>
        <w:jc w:val="both"/>
        <w:rPr>
          <w:rFonts w:cs="Arial"/>
          <w:sz w:val="24"/>
          <w:szCs w:val="24"/>
        </w:rPr>
      </w:pPr>
      <w:r>
        <w:rPr>
          <w:rFonts w:cs="Arial"/>
          <w:sz w:val="24"/>
          <w:szCs w:val="24"/>
        </w:rPr>
        <w:t>“…</w:t>
      </w:r>
      <w:r w:rsidRPr="00B331B2">
        <w:rPr>
          <w:rFonts w:cs="Arial"/>
          <w:i/>
          <w:iCs/>
          <w:sz w:val="24"/>
          <w:szCs w:val="24"/>
        </w:rPr>
        <w:t>the common law rule by which native title rights and interests existing under traditional laws and customs are recognised at common law is and always has been a rule of unconditional recognition. Before the commencement of the Native Title Act on 1 January 1994, cessation of recognition of a native title right or interest previously recognised at common law was not the result of an inherent or innate susceptibility of that right or interest as recognised at common law to defeasance</w:t>
      </w:r>
      <w:r w:rsidRPr="00CC0089">
        <w:rPr>
          <w:rFonts w:cs="Arial"/>
          <w:sz w:val="24"/>
          <w:szCs w:val="24"/>
        </w:rPr>
        <w:t>.</w:t>
      </w:r>
      <w:r>
        <w:rPr>
          <w:rFonts w:cs="Arial"/>
          <w:sz w:val="24"/>
          <w:szCs w:val="24"/>
        </w:rPr>
        <w:t>”</w:t>
      </w:r>
      <w:r w:rsidRPr="00CC0089">
        <w:rPr>
          <w:rFonts w:cs="Arial"/>
          <w:sz w:val="24"/>
          <w:szCs w:val="24"/>
        </w:rPr>
        <w:t xml:space="preserve"> </w:t>
      </w:r>
    </w:p>
    <w:p w14:paraId="21FF72F9" w14:textId="77777777" w:rsidR="00F5228C" w:rsidRDefault="006A3AFC" w:rsidP="006A3AFC">
      <w:pPr>
        <w:spacing w:before="120" w:after="120" w:line="240" w:lineRule="auto"/>
        <w:jc w:val="both"/>
        <w:rPr>
          <w:rFonts w:cs="Arial"/>
          <w:sz w:val="24"/>
          <w:szCs w:val="24"/>
        </w:rPr>
      </w:pPr>
      <w:r w:rsidRPr="006A3AFC">
        <w:rPr>
          <w:rFonts w:cs="Arial"/>
          <w:sz w:val="24"/>
          <w:szCs w:val="24"/>
        </w:rPr>
        <w:t xml:space="preserve">The Commonwealth further argued that the Constitutional “just terms” guarantee did not apply to the acquisition of property made by laws enacted under the Territories power in the Constitution. </w:t>
      </w:r>
      <w:r w:rsidR="00591538">
        <w:rPr>
          <w:rFonts w:cs="Arial"/>
          <w:sz w:val="24"/>
          <w:szCs w:val="24"/>
        </w:rPr>
        <w:t>In clear terms, the majority dismissed this submission stating</w:t>
      </w:r>
      <w:r w:rsidR="00F5228C">
        <w:rPr>
          <w:rFonts w:cs="Arial"/>
          <w:sz w:val="24"/>
          <w:szCs w:val="24"/>
        </w:rPr>
        <w:t>:</w:t>
      </w:r>
    </w:p>
    <w:p w14:paraId="14942B2F" w14:textId="560A28E2" w:rsidR="006A3AFC" w:rsidRPr="006A3AFC" w:rsidRDefault="00591538" w:rsidP="00F5228C">
      <w:pPr>
        <w:spacing w:before="120" w:after="120" w:line="240" w:lineRule="auto"/>
        <w:ind w:left="720"/>
        <w:jc w:val="both"/>
        <w:rPr>
          <w:rFonts w:cs="Arial"/>
          <w:sz w:val="24"/>
          <w:szCs w:val="24"/>
        </w:rPr>
      </w:pPr>
      <w:r>
        <w:rPr>
          <w:rFonts w:cs="Arial"/>
          <w:sz w:val="24"/>
          <w:szCs w:val="24"/>
        </w:rPr>
        <w:t>“</w:t>
      </w:r>
      <w:r w:rsidRPr="00B331B2">
        <w:rPr>
          <w:rFonts w:cs="Arial"/>
          <w:i/>
          <w:iCs/>
          <w:sz w:val="24"/>
          <w:szCs w:val="24"/>
        </w:rPr>
        <w:t>The time has come for it to be finally and authoritatively declared that the power conferred on the Commonwealth Parliament by s</w:t>
      </w:r>
      <w:r w:rsidR="00F5228C">
        <w:rPr>
          <w:rFonts w:cs="Arial"/>
          <w:i/>
          <w:iCs/>
          <w:sz w:val="24"/>
          <w:szCs w:val="24"/>
        </w:rPr>
        <w:t>.</w:t>
      </w:r>
      <w:r w:rsidRPr="00B331B2">
        <w:rPr>
          <w:rFonts w:cs="Arial"/>
          <w:i/>
          <w:iCs/>
          <w:sz w:val="24"/>
          <w:szCs w:val="24"/>
        </w:rPr>
        <w:t xml:space="preserve"> 122 of the Constitution to make laws for the government of a territory does not extend to making a law with respect to an acquisition of property otherwise than on just terms within the meaning of s</w:t>
      </w:r>
      <w:r w:rsidR="00F5228C">
        <w:rPr>
          <w:rFonts w:cs="Arial"/>
          <w:i/>
          <w:iCs/>
          <w:sz w:val="24"/>
          <w:szCs w:val="24"/>
        </w:rPr>
        <w:t>.</w:t>
      </w:r>
      <w:r w:rsidRPr="00B331B2">
        <w:rPr>
          <w:rFonts w:cs="Arial"/>
          <w:i/>
          <w:iCs/>
          <w:sz w:val="24"/>
          <w:szCs w:val="24"/>
        </w:rPr>
        <w:t xml:space="preserve"> 51(xxxi) of the Constitution.</w:t>
      </w:r>
      <w:r>
        <w:rPr>
          <w:rFonts w:cs="Arial"/>
          <w:sz w:val="24"/>
          <w:szCs w:val="24"/>
        </w:rPr>
        <w:t>”</w:t>
      </w:r>
      <w:r w:rsidRPr="00591538">
        <w:rPr>
          <w:rFonts w:cs="Arial"/>
          <w:sz w:val="24"/>
          <w:szCs w:val="24"/>
        </w:rPr>
        <w:t xml:space="preserve"> </w:t>
      </w:r>
    </w:p>
    <w:p w14:paraId="134966FE" w14:textId="77777777" w:rsidR="006A3AFC" w:rsidRPr="006A3AFC" w:rsidRDefault="006A3AFC" w:rsidP="006A3AFC">
      <w:pPr>
        <w:spacing w:before="120" w:after="120" w:line="240" w:lineRule="auto"/>
        <w:jc w:val="both"/>
        <w:rPr>
          <w:rFonts w:cs="Arial"/>
          <w:sz w:val="24"/>
          <w:szCs w:val="24"/>
        </w:rPr>
      </w:pPr>
      <w:r w:rsidRPr="006A3AFC">
        <w:rPr>
          <w:rFonts w:cs="Arial"/>
          <w:sz w:val="24"/>
          <w:szCs w:val="24"/>
        </w:rPr>
        <w:t>Just terms provides a qualification on the power of the Commonwealth government to provide fair and timely compensation approximating as far as possible the market value of the property acquired, and reflecting a general notion of fairness in all circumstances.</w:t>
      </w:r>
    </w:p>
    <w:sectPr w:rsidR="006A3AFC" w:rsidRPr="006A3AFC" w:rsidSect="006A3AFC">
      <w:headerReference w:type="even" r:id="rId12"/>
      <w:headerReference w:type="default" r:id="rId13"/>
      <w:footerReference w:type="even" r:id="rId14"/>
      <w:footerReference w:type="default" r:id="rId15"/>
      <w:headerReference w:type="first" r:id="rId16"/>
      <w:footerReference w:type="first" r:id="rId17"/>
      <w:pgSz w:w="11906" w:h="16838"/>
      <w:pgMar w:top="-993" w:right="1440" w:bottom="397" w:left="1440" w:header="284" w:footer="8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C91F4" w14:textId="77777777" w:rsidR="00401A4E" w:rsidRDefault="00401A4E" w:rsidP="00FF45AC">
      <w:pPr>
        <w:spacing w:after="0" w:line="240" w:lineRule="auto"/>
      </w:pPr>
      <w:r>
        <w:separator/>
      </w:r>
    </w:p>
  </w:endnote>
  <w:endnote w:type="continuationSeparator" w:id="0">
    <w:p w14:paraId="25D200CE" w14:textId="77777777" w:rsidR="00401A4E" w:rsidRDefault="00401A4E" w:rsidP="00FF45AC">
      <w:pPr>
        <w:spacing w:after="0" w:line="240" w:lineRule="auto"/>
      </w:pPr>
      <w:r>
        <w:continuationSeparator/>
      </w:r>
    </w:p>
  </w:endnote>
  <w:endnote w:type="continuationNotice" w:id="1">
    <w:p w14:paraId="315A8C1E" w14:textId="77777777" w:rsidR="00401A4E" w:rsidRDefault="00401A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F162" w14:textId="77777777" w:rsidR="00B2791D" w:rsidRDefault="00B279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8687590"/>
      <w:docPartObj>
        <w:docPartGallery w:val="Page Numbers (Bottom of Page)"/>
        <w:docPartUnique/>
      </w:docPartObj>
    </w:sdtPr>
    <w:sdtContent>
      <w:sdt>
        <w:sdtPr>
          <w:id w:val="530997214"/>
          <w:docPartObj>
            <w:docPartGallery w:val="Page Numbers (Top of Page)"/>
            <w:docPartUnique/>
          </w:docPartObj>
        </w:sdtPr>
        <w:sdtContent>
          <w:p w14:paraId="0DCF8AF7" w14:textId="36DE3ED5" w:rsidR="006A3AFC" w:rsidRDefault="006A3AF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ADAB759" w14:textId="77777777" w:rsidR="00C7646C" w:rsidRDefault="00C764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9772922"/>
      <w:docPartObj>
        <w:docPartGallery w:val="Page Numbers (Bottom of Page)"/>
        <w:docPartUnique/>
      </w:docPartObj>
    </w:sdtPr>
    <w:sdtContent>
      <w:sdt>
        <w:sdtPr>
          <w:id w:val="-1769616900"/>
          <w:docPartObj>
            <w:docPartGallery w:val="Page Numbers (Top of Page)"/>
            <w:docPartUnique/>
          </w:docPartObj>
        </w:sdtPr>
        <w:sdtContent>
          <w:p w14:paraId="17AA2957" w14:textId="69E57791" w:rsidR="006A3AFC" w:rsidRDefault="006A3AF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9D15DB4" w14:textId="5A7648ED" w:rsidR="00C7646C" w:rsidRPr="00C7646C" w:rsidRDefault="00C7646C" w:rsidP="00C7646C">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7866B" w14:textId="77777777" w:rsidR="00401A4E" w:rsidRDefault="00401A4E" w:rsidP="00FF45AC">
      <w:pPr>
        <w:spacing w:after="0" w:line="240" w:lineRule="auto"/>
      </w:pPr>
      <w:r>
        <w:separator/>
      </w:r>
    </w:p>
  </w:footnote>
  <w:footnote w:type="continuationSeparator" w:id="0">
    <w:p w14:paraId="68BD289F" w14:textId="77777777" w:rsidR="00401A4E" w:rsidRDefault="00401A4E" w:rsidP="00FF45AC">
      <w:pPr>
        <w:spacing w:after="0" w:line="240" w:lineRule="auto"/>
      </w:pPr>
      <w:r>
        <w:continuationSeparator/>
      </w:r>
    </w:p>
  </w:footnote>
  <w:footnote w:type="continuationNotice" w:id="1">
    <w:p w14:paraId="24C3C006" w14:textId="77777777" w:rsidR="00401A4E" w:rsidRDefault="00401A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F06E5" w14:textId="77777777" w:rsidR="00B2791D" w:rsidRDefault="00B279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871A" w14:textId="77777777" w:rsidR="00B2791D" w:rsidRDefault="00B279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D031" w14:textId="3BAB0EF6" w:rsidR="00C7646C" w:rsidRDefault="00FC423C" w:rsidP="00C7646C">
    <w:pPr>
      <w:spacing w:after="0"/>
      <w:ind w:right="-1039"/>
      <w:jc w:val="right"/>
    </w:pPr>
    <w:r>
      <w:rPr>
        <w:noProof/>
      </w:rPr>
      <w:drawing>
        <wp:inline distT="0" distB="0" distL="0" distR="0" wp14:anchorId="2C69B621" wp14:editId="157EDF24">
          <wp:extent cx="2734816" cy="1094108"/>
          <wp:effectExtent l="0" t="0" r="8890" b="0"/>
          <wp:docPr id="1949326202" name="Picture 194932620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NTC_Logo_4clr_Horizontal.jpg"/>
                  <pic:cNvPicPr/>
                </pic:nvPicPr>
                <pic:blipFill>
                  <a:blip r:embed="rId1"/>
                  <a:stretch>
                    <a:fillRect/>
                  </a:stretch>
                </pic:blipFill>
                <pic:spPr>
                  <a:xfrm>
                    <a:off x="0" y="0"/>
                    <a:ext cx="2858811" cy="1143714"/>
                  </a:xfrm>
                  <a:prstGeom prst="rect">
                    <a:avLst/>
                  </a:prstGeom>
                </pic:spPr>
              </pic:pic>
            </a:graphicData>
          </a:graphic>
        </wp:inline>
      </w:drawing>
    </w:r>
  </w:p>
  <w:p w14:paraId="611ACEAD" w14:textId="01048474" w:rsidR="00C7646C" w:rsidRDefault="0015379C" w:rsidP="00976F25">
    <w:pPr>
      <w:ind w:left="5670" w:right="-1039"/>
      <w:jc w:val="right"/>
    </w:pPr>
    <w:r>
      <w:rPr>
        <w:noProof/>
        <w:lang w:val="en-GB" w:eastAsia="en-GB"/>
      </w:rPr>
      <mc:AlternateContent>
        <mc:Choice Requires="wps">
          <w:drawing>
            <wp:anchor distT="0" distB="0" distL="114300" distR="114300" simplePos="0" relativeHeight="251658240" behindDoc="0" locked="0" layoutInCell="1" allowOverlap="1" wp14:anchorId="2B05A716" wp14:editId="19897C1E">
              <wp:simplePos x="0" y="0"/>
              <wp:positionH relativeFrom="column">
                <wp:posOffset>5037455</wp:posOffset>
              </wp:positionH>
              <wp:positionV relativeFrom="paragraph">
                <wp:posOffset>936625</wp:posOffset>
              </wp:positionV>
              <wp:extent cx="1447800" cy="262467"/>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62467"/>
                      </a:xfrm>
                      <a:prstGeom prst="rect">
                        <a:avLst/>
                      </a:prstGeom>
                      <a:noFill/>
                      <a:ln>
                        <a:noFill/>
                      </a:ln>
                      <a:extLst>
                        <a:ext uri="{909E8E84-426E-40dd-AFC4-6F175D3DCCD1}">
                          <a14:hiddenFill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2B844A3D" w14:textId="090BC5D1" w:rsidR="00C7646C" w:rsidRPr="0015379C" w:rsidRDefault="00C7646C" w:rsidP="0015379C">
                          <w:pPr>
                            <w:spacing w:after="0" w:line="240" w:lineRule="auto"/>
                            <w:jc w:val="center"/>
                            <w:rPr>
                              <w:rFonts w:cs="Arial"/>
                              <w:sz w:val="20"/>
                              <w:szCs w:val="20"/>
                            </w:rPr>
                          </w:pPr>
                          <w:r w:rsidRPr="00355FFD">
                            <w:rPr>
                              <w:rFonts w:cs="Arial"/>
                              <w:sz w:val="20"/>
                              <w:szCs w:val="20"/>
                            </w:rPr>
                            <w:t>ABN 32 122 833 158</w:t>
                          </w:r>
                        </w:p>
                        <w:p w14:paraId="0D20CE52" w14:textId="77777777" w:rsidR="00C7646C" w:rsidRPr="00C208B9" w:rsidRDefault="00C7646C" w:rsidP="001537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5A716" id="_x0000_t202" coordsize="21600,21600" o:spt="202" path="m,l,21600r21600,l21600,xe">
              <v:stroke joinstyle="miter"/>
              <v:path gradientshapeok="t" o:connecttype="rect"/>
            </v:shapetype>
            <v:shape id="Text Box 2" o:spid="_x0000_s1026" type="#_x0000_t202" style="position:absolute;left:0;text-align:left;margin-left:396.65pt;margin-top:73.75pt;width:114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" filled="f" stroked="f">
              <v:textbox>
                <w:txbxContent>
                  <w:p w14:paraId="2B844A3D" w14:textId="090BC5D1" w:rsidR="00C7646C" w:rsidRPr="0015379C" w:rsidRDefault="00C7646C" w:rsidP="0015379C">
                    <w:pPr>
                      <w:spacing w:after="0" w:line="240" w:lineRule="auto"/>
                      <w:jc w:val="center"/>
                      <w:rPr>
                        <w:rFonts w:cs="Arial"/>
                        <w:sz w:val="20"/>
                        <w:szCs w:val="20"/>
                      </w:rPr>
                    </w:pPr>
                    <w:r w:rsidRPr="00355FFD">
                      <w:rPr>
                        <w:rFonts w:cs="Arial"/>
                        <w:sz w:val="20"/>
                        <w:szCs w:val="20"/>
                      </w:rPr>
                      <w:t>ABN 32 122 833 158</w:t>
                    </w:r>
                  </w:p>
                  <w:p w14:paraId="0D20CE52" w14:textId="77777777" w:rsidR="00C7646C" w:rsidRPr="00C208B9" w:rsidRDefault="00C7646C" w:rsidP="0015379C">
                    <w:pPr>
                      <w:jc w:val="center"/>
                    </w:pPr>
                  </w:p>
                </w:txbxContent>
              </v:textbox>
            </v:shape>
          </w:pict>
        </mc:Fallback>
      </mc:AlternateContent>
    </w:r>
    <w:r w:rsidR="00FC423C">
      <w:rPr>
        <w:noProof/>
      </w:rPr>
      <w:drawing>
        <wp:inline distT="0" distB="0" distL="0" distR="0" wp14:anchorId="0474667A" wp14:editId="6EE09806">
          <wp:extent cx="1506548" cy="903829"/>
          <wp:effectExtent l="0" t="0" r="0" b="0"/>
          <wp:docPr id="206564178" name="Picture 206564178" descr="A picture containing animal,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NTC_Spirit Text.jpg"/>
                  <pic:cNvPicPr/>
                </pic:nvPicPr>
                <pic:blipFill>
                  <a:blip r:embed="rId2"/>
                  <a:stretch>
                    <a:fillRect/>
                  </a:stretch>
                </pic:blipFill>
                <pic:spPr>
                  <a:xfrm>
                    <a:off x="0" y="0"/>
                    <a:ext cx="1545847" cy="927406"/>
                  </a:xfrm>
                  <a:prstGeom prst="rect">
                    <a:avLst/>
                  </a:prstGeom>
                </pic:spPr>
              </pic:pic>
            </a:graphicData>
          </a:graphic>
        </wp:inline>
      </w:drawing>
    </w:r>
  </w:p>
  <w:p w14:paraId="4B081C3C" w14:textId="77777777" w:rsidR="00613EEC" w:rsidRDefault="00613EEC" w:rsidP="00976F25">
    <w:pPr>
      <w:ind w:left="5670" w:right="-1039"/>
      <w:jc w:val="right"/>
    </w:pPr>
  </w:p>
  <w:p w14:paraId="33D93C84" w14:textId="67406DA3" w:rsidR="00C7646C" w:rsidRPr="00C7646C" w:rsidRDefault="00C7646C" w:rsidP="00C764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A9F"/>
    <w:multiLevelType w:val="hybridMultilevel"/>
    <w:tmpl w:val="FCD4F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9F6ECE"/>
    <w:multiLevelType w:val="hybridMultilevel"/>
    <w:tmpl w:val="41F0E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B3BC5"/>
    <w:multiLevelType w:val="hybridMultilevel"/>
    <w:tmpl w:val="9E06E5D8"/>
    <w:lvl w:ilvl="0" w:tplc="936642DE">
      <w:start w:val="2013"/>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251137"/>
    <w:multiLevelType w:val="hybridMultilevel"/>
    <w:tmpl w:val="414C5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EA3F10"/>
    <w:multiLevelType w:val="hybridMultilevel"/>
    <w:tmpl w:val="39C6E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A850B7"/>
    <w:multiLevelType w:val="hybridMultilevel"/>
    <w:tmpl w:val="7E0025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EE5C74"/>
    <w:multiLevelType w:val="hybridMultilevel"/>
    <w:tmpl w:val="2F6E1FF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F37365"/>
    <w:multiLevelType w:val="hybridMultilevel"/>
    <w:tmpl w:val="9FA885E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35210282"/>
    <w:multiLevelType w:val="hybridMultilevel"/>
    <w:tmpl w:val="DC9CF2FC"/>
    <w:lvl w:ilvl="0" w:tplc="25187DBA">
      <w:start w:val="201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314CA0"/>
    <w:multiLevelType w:val="hybridMultilevel"/>
    <w:tmpl w:val="9A844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9F196E"/>
    <w:multiLevelType w:val="hybridMultilevel"/>
    <w:tmpl w:val="90DA91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9C39F5"/>
    <w:multiLevelType w:val="hybridMultilevel"/>
    <w:tmpl w:val="4546F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2F576F"/>
    <w:multiLevelType w:val="hybridMultilevel"/>
    <w:tmpl w:val="04A6C4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510848"/>
    <w:multiLevelType w:val="hybridMultilevel"/>
    <w:tmpl w:val="ABD81C4A"/>
    <w:lvl w:ilvl="0" w:tplc="936642DE">
      <w:start w:val="2013"/>
      <w:numFmt w:val="bullet"/>
      <w:lvlText w:val=""/>
      <w:lvlJc w:val="left"/>
      <w:pPr>
        <w:ind w:left="1440" w:hanging="360"/>
      </w:pPr>
      <w:rPr>
        <w:rFonts w:ascii="Symbol" w:eastAsiaTheme="minorHAnsi" w:hAnsi="Symbol"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695776AB"/>
    <w:multiLevelType w:val="hybridMultilevel"/>
    <w:tmpl w:val="B1B024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7A53660"/>
    <w:multiLevelType w:val="hybridMultilevel"/>
    <w:tmpl w:val="8264D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AC581F"/>
    <w:multiLevelType w:val="hybridMultilevel"/>
    <w:tmpl w:val="7B26EA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812119F"/>
    <w:multiLevelType w:val="hybridMultilevel"/>
    <w:tmpl w:val="25FCB0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0669171">
    <w:abstractNumId w:val="2"/>
  </w:num>
  <w:num w:numId="2" w16cid:durableId="1185704611">
    <w:abstractNumId w:val="8"/>
  </w:num>
  <w:num w:numId="3" w16cid:durableId="1532961262">
    <w:abstractNumId w:val="13"/>
  </w:num>
  <w:num w:numId="4" w16cid:durableId="4289625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6920709">
    <w:abstractNumId w:val="5"/>
  </w:num>
  <w:num w:numId="6" w16cid:durableId="1546795646">
    <w:abstractNumId w:val="1"/>
  </w:num>
  <w:num w:numId="7" w16cid:durableId="1248658807">
    <w:abstractNumId w:val="6"/>
  </w:num>
  <w:num w:numId="8" w16cid:durableId="1358965563">
    <w:abstractNumId w:val="12"/>
  </w:num>
  <w:num w:numId="9" w16cid:durableId="1339697548">
    <w:abstractNumId w:val="16"/>
  </w:num>
  <w:num w:numId="10" w16cid:durableId="2042894594">
    <w:abstractNumId w:val="14"/>
  </w:num>
  <w:num w:numId="11" w16cid:durableId="1112364856">
    <w:abstractNumId w:val="4"/>
  </w:num>
  <w:num w:numId="12" w16cid:durableId="1672021380">
    <w:abstractNumId w:val="10"/>
  </w:num>
  <w:num w:numId="13" w16cid:durableId="673844241">
    <w:abstractNumId w:val="3"/>
  </w:num>
  <w:num w:numId="14" w16cid:durableId="1966690631">
    <w:abstractNumId w:val="15"/>
  </w:num>
  <w:num w:numId="15" w16cid:durableId="580601832">
    <w:abstractNumId w:val="17"/>
  </w:num>
  <w:num w:numId="16" w16cid:durableId="1991206839">
    <w:abstractNumId w:val="0"/>
  </w:num>
  <w:num w:numId="17" w16cid:durableId="137888589">
    <w:abstractNumId w:val="9"/>
  </w:num>
  <w:num w:numId="18" w16cid:durableId="7501974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680"/>
    <w:rsid w:val="00003B50"/>
    <w:rsid w:val="0000541D"/>
    <w:rsid w:val="000104D8"/>
    <w:rsid w:val="00015584"/>
    <w:rsid w:val="00021415"/>
    <w:rsid w:val="00022E96"/>
    <w:rsid w:val="000271A3"/>
    <w:rsid w:val="000272E8"/>
    <w:rsid w:val="00030131"/>
    <w:rsid w:val="00031B02"/>
    <w:rsid w:val="0003275F"/>
    <w:rsid w:val="00035940"/>
    <w:rsid w:val="00046714"/>
    <w:rsid w:val="000469D6"/>
    <w:rsid w:val="000505DD"/>
    <w:rsid w:val="00052945"/>
    <w:rsid w:val="00053139"/>
    <w:rsid w:val="00055A08"/>
    <w:rsid w:val="00057E6E"/>
    <w:rsid w:val="00060078"/>
    <w:rsid w:val="000617B3"/>
    <w:rsid w:val="000638C9"/>
    <w:rsid w:val="00063A55"/>
    <w:rsid w:val="0006735E"/>
    <w:rsid w:val="000673AF"/>
    <w:rsid w:val="00075AB7"/>
    <w:rsid w:val="00075D53"/>
    <w:rsid w:val="000765FB"/>
    <w:rsid w:val="00085432"/>
    <w:rsid w:val="00085D74"/>
    <w:rsid w:val="000974D6"/>
    <w:rsid w:val="000975A6"/>
    <w:rsid w:val="000A380C"/>
    <w:rsid w:val="000A41DB"/>
    <w:rsid w:val="000B05A1"/>
    <w:rsid w:val="000B135A"/>
    <w:rsid w:val="000B1439"/>
    <w:rsid w:val="000B1476"/>
    <w:rsid w:val="000B5E75"/>
    <w:rsid w:val="000B7950"/>
    <w:rsid w:val="000B7E5F"/>
    <w:rsid w:val="000C4016"/>
    <w:rsid w:val="000C5079"/>
    <w:rsid w:val="000C5122"/>
    <w:rsid w:val="000D2FD0"/>
    <w:rsid w:val="000D3A79"/>
    <w:rsid w:val="000D3A8C"/>
    <w:rsid w:val="000E14F8"/>
    <w:rsid w:val="000E7FBE"/>
    <w:rsid w:val="000F10C8"/>
    <w:rsid w:val="000F1808"/>
    <w:rsid w:val="001039E6"/>
    <w:rsid w:val="00104B4F"/>
    <w:rsid w:val="00107D7C"/>
    <w:rsid w:val="00116167"/>
    <w:rsid w:val="0012086C"/>
    <w:rsid w:val="001238C6"/>
    <w:rsid w:val="0012542A"/>
    <w:rsid w:val="0012693B"/>
    <w:rsid w:val="00134B51"/>
    <w:rsid w:val="001374E3"/>
    <w:rsid w:val="00140FBF"/>
    <w:rsid w:val="001444F9"/>
    <w:rsid w:val="0015379C"/>
    <w:rsid w:val="001555BA"/>
    <w:rsid w:val="00156CFA"/>
    <w:rsid w:val="00157817"/>
    <w:rsid w:val="00160358"/>
    <w:rsid w:val="00161DE6"/>
    <w:rsid w:val="00162631"/>
    <w:rsid w:val="001656B7"/>
    <w:rsid w:val="001658A3"/>
    <w:rsid w:val="00172C52"/>
    <w:rsid w:val="00173A54"/>
    <w:rsid w:val="00173D2A"/>
    <w:rsid w:val="00174092"/>
    <w:rsid w:val="001742D5"/>
    <w:rsid w:val="00175CFC"/>
    <w:rsid w:val="00182A64"/>
    <w:rsid w:val="0018445D"/>
    <w:rsid w:val="00187A38"/>
    <w:rsid w:val="00187EFF"/>
    <w:rsid w:val="00196D62"/>
    <w:rsid w:val="001A2A0E"/>
    <w:rsid w:val="001B64FA"/>
    <w:rsid w:val="001C4221"/>
    <w:rsid w:val="001C42C8"/>
    <w:rsid w:val="001C4AB3"/>
    <w:rsid w:val="001C5314"/>
    <w:rsid w:val="001C679F"/>
    <w:rsid w:val="001D0D0C"/>
    <w:rsid w:val="001D5FA0"/>
    <w:rsid w:val="001D754A"/>
    <w:rsid w:val="001D7D3B"/>
    <w:rsid w:val="001D7FA1"/>
    <w:rsid w:val="001E4A84"/>
    <w:rsid w:val="001E637A"/>
    <w:rsid w:val="001E7FDD"/>
    <w:rsid w:val="001F00DA"/>
    <w:rsid w:val="001F5299"/>
    <w:rsid w:val="002024E7"/>
    <w:rsid w:val="002026C6"/>
    <w:rsid w:val="00221142"/>
    <w:rsid w:val="00221D87"/>
    <w:rsid w:val="002255C5"/>
    <w:rsid w:val="0022716C"/>
    <w:rsid w:val="00227DFD"/>
    <w:rsid w:val="002306CB"/>
    <w:rsid w:val="00240637"/>
    <w:rsid w:val="00240A75"/>
    <w:rsid w:val="00240CBB"/>
    <w:rsid w:val="002456FB"/>
    <w:rsid w:val="0024673B"/>
    <w:rsid w:val="0025315F"/>
    <w:rsid w:val="002559B1"/>
    <w:rsid w:val="00260474"/>
    <w:rsid w:val="00261BFB"/>
    <w:rsid w:val="00265086"/>
    <w:rsid w:val="002654A0"/>
    <w:rsid w:val="002655C6"/>
    <w:rsid w:val="00272F5F"/>
    <w:rsid w:val="00273B3E"/>
    <w:rsid w:val="002767C9"/>
    <w:rsid w:val="00284495"/>
    <w:rsid w:val="00285A86"/>
    <w:rsid w:val="00287494"/>
    <w:rsid w:val="0029722B"/>
    <w:rsid w:val="00297861"/>
    <w:rsid w:val="002A1B9C"/>
    <w:rsid w:val="002B1B4E"/>
    <w:rsid w:val="002B5B2A"/>
    <w:rsid w:val="002C0B1D"/>
    <w:rsid w:val="002C34F0"/>
    <w:rsid w:val="002C6274"/>
    <w:rsid w:val="002C7EF6"/>
    <w:rsid w:val="002D4C21"/>
    <w:rsid w:val="002D5747"/>
    <w:rsid w:val="002E1B3A"/>
    <w:rsid w:val="002E3B79"/>
    <w:rsid w:val="002E6CD4"/>
    <w:rsid w:val="002F5711"/>
    <w:rsid w:val="002F6B99"/>
    <w:rsid w:val="00300D62"/>
    <w:rsid w:val="00303375"/>
    <w:rsid w:val="0030366C"/>
    <w:rsid w:val="00304EA6"/>
    <w:rsid w:val="003054E3"/>
    <w:rsid w:val="003126B3"/>
    <w:rsid w:val="0031287D"/>
    <w:rsid w:val="0032261C"/>
    <w:rsid w:val="00324B4A"/>
    <w:rsid w:val="00327D5D"/>
    <w:rsid w:val="003309ED"/>
    <w:rsid w:val="00337891"/>
    <w:rsid w:val="003409F2"/>
    <w:rsid w:val="00345C71"/>
    <w:rsid w:val="00347AA4"/>
    <w:rsid w:val="00347F1A"/>
    <w:rsid w:val="00354E72"/>
    <w:rsid w:val="00355FFD"/>
    <w:rsid w:val="003621E2"/>
    <w:rsid w:val="003637D9"/>
    <w:rsid w:val="0036788C"/>
    <w:rsid w:val="003826D8"/>
    <w:rsid w:val="00384708"/>
    <w:rsid w:val="003870AA"/>
    <w:rsid w:val="00390745"/>
    <w:rsid w:val="00392AC8"/>
    <w:rsid w:val="00392DC5"/>
    <w:rsid w:val="00394608"/>
    <w:rsid w:val="00395D44"/>
    <w:rsid w:val="003970F9"/>
    <w:rsid w:val="003A40A8"/>
    <w:rsid w:val="003B164B"/>
    <w:rsid w:val="003B536E"/>
    <w:rsid w:val="003B7AC6"/>
    <w:rsid w:val="003C44BD"/>
    <w:rsid w:val="003C54BB"/>
    <w:rsid w:val="003C63ED"/>
    <w:rsid w:val="003C7B12"/>
    <w:rsid w:val="003D1ECD"/>
    <w:rsid w:val="003D3212"/>
    <w:rsid w:val="003D3CDE"/>
    <w:rsid w:val="003D52C2"/>
    <w:rsid w:val="003D5CB3"/>
    <w:rsid w:val="003E0935"/>
    <w:rsid w:val="003E09C5"/>
    <w:rsid w:val="003E57E9"/>
    <w:rsid w:val="003E6361"/>
    <w:rsid w:val="003F04A6"/>
    <w:rsid w:val="00401A4E"/>
    <w:rsid w:val="00403C1B"/>
    <w:rsid w:val="00404748"/>
    <w:rsid w:val="004051D0"/>
    <w:rsid w:val="00412724"/>
    <w:rsid w:val="00424639"/>
    <w:rsid w:val="00424838"/>
    <w:rsid w:val="00432137"/>
    <w:rsid w:val="004332E0"/>
    <w:rsid w:val="004370B4"/>
    <w:rsid w:val="00437B73"/>
    <w:rsid w:val="004411E8"/>
    <w:rsid w:val="00443C8F"/>
    <w:rsid w:val="00444852"/>
    <w:rsid w:val="0044579F"/>
    <w:rsid w:val="00445AF8"/>
    <w:rsid w:val="004503B3"/>
    <w:rsid w:val="00451BDE"/>
    <w:rsid w:val="00451FBC"/>
    <w:rsid w:val="00454D44"/>
    <w:rsid w:val="00465D97"/>
    <w:rsid w:val="00466001"/>
    <w:rsid w:val="00467C58"/>
    <w:rsid w:val="0047187B"/>
    <w:rsid w:val="00471EFA"/>
    <w:rsid w:val="004728CF"/>
    <w:rsid w:val="004764F5"/>
    <w:rsid w:val="0047786D"/>
    <w:rsid w:val="00481EE1"/>
    <w:rsid w:val="00491F46"/>
    <w:rsid w:val="00493AC0"/>
    <w:rsid w:val="004973C5"/>
    <w:rsid w:val="004979C5"/>
    <w:rsid w:val="004A1D43"/>
    <w:rsid w:val="004A2597"/>
    <w:rsid w:val="004A531C"/>
    <w:rsid w:val="004B6217"/>
    <w:rsid w:val="004C0746"/>
    <w:rsid w:val="004C43B9"/>
    <w:rsid w:val="004C4F68"/>
    <w:rsid w:val="004D304C"/>
    <w:rsid w:val="004D30AE"/>
    <w:rsid w:val="004D7EE2"/>
    <w:rsid w:val="004E1C70"/>
    <w:rsid w:val="004F3F38"/>
    <w:rsid w:val="004F76F2"/>
    <w:rsid w:val="00502723"/>
    <w:rsid w:val="00512043"/>
    <w:rsid w:val="00512B42"/>
    <w:rsid w:val="00521F8C"/>
    <w:rsid w:val="00525193"/>
    <w:rsid w:val="005277FD"/>
    <w:rsid w:val="00527FB9"/>
    <w:rsid w:val="00533D0D"/>
    <w:rsid w:val="00534FAA"/>
    <w:rsid w:val="005357D4"/>
    <w:rsid w:val="00537F5D"/>
    <w:rsid w:val="00541564"/>
    <w:rsid w:val="0054389F"/>
    <w:rsid w:val="00546EF9"/>
    <w:rsid w:val="0054739C"/>
    <w:rsid w:val="005656D6"/>
    <w:rsid w:val="00570406"/>
    <w:rsid w:val="00573F85"/>
    <w:rsid w:val="0057417F"/>
    <w:rsid w:val="0057718C"/>
    <w:rsid w:val="00580B63"/>
    <w:rsid w:val="00583123"/>
    <w:rsid w:val="00591538"/>
    <w:rsid w:val="00594588"/>
    <w:rsid w:val="005A0D8D"/>
    <w:rsid w:val="005A2BDF"/>
    <w:rsid w:val="005A2ECB"/>
    <w:rsid w:val="005B5CA5"/>
    <w:rsid w:val="005B6852"/>
    <w:rsid w:val="005C0B06"/>
    <w:rsid w:val="005C0B75"/>
    <w:rsid w:val="005C38B2"/>
    <w:rsid w:val="005D2E63"/>
    <w:rsid w:val="005D58FB"/>
    <w:rsid w:val="005E1244"/>
    <w:rsid w:val="005E2033"/>
    <w:rsid w:val="005E29CD"/>
    <w:rsid w:val="005E30A9"/>
    <w:rsid w:val="005E3E38"/>
    <w:rsid w:val="005E4BD8"/>
    <w:rsid w:val="005F0237"/>
    <w:rsid w:val="005F2884"/>
    <w:rsid w:val="005F5CAD"/>
    <w:rsid w:val="005F6F65"/>
    <w:rsid w:val="00602A65"/>
    <w:rsid w:val="006037F6"/>
    <w:rsid w:val="0060423F"/>
    <w:rsid w:val="006056C6"/>
    <w:rsid w:val="00611832"/>
    <w:rsid w:val="00613EEC"/>
    <w:rsid w:val="006174A9"/>
    <w:rsid w:val="006302DF"/>
    <w:rsid w:val="00636232"/>
    <w:rsid w:val="006363C6"/>
    <w:rsid w:val="0063689F"/>
    <w:rsid w:val="006378E1"/>
    <w:rsid w:val="00637CAF"/>
    <w:rsid w:val="00646281"/>
    <w:rsid w:val="00653B8A"/>
    <w:rsid w:val="00661029"/>
    <w:rsid w:val="006635AA"/>
    <w:rsid w:val="006803B4"/>
    <w:rsid w:val="00690005"/>
    <w:rsid w:val="00691099"/>
    <w:rsid w:val="006A3AFC"/>
    <w:rsid w:val="006A3B89"/>
    <w:rsid w:val="006A65F6"/>
    <w:rsid w:val="006B26D0"/>
    <w:rsid w:val="006B51DF"/>
    <w:rsid w:val="006B6769"/>
    <w:rsid w:val="006B67C9"/>
    <w:rsid w:val="006C3D09"/>
    <w:rsid w:val="006D2F2A"/>
    <w:rsid w:val="006E66FD"/>
    <w:rsid w:val="006F00CB"/>
    <w:rsid w:val="006F12EB"/>
    <w:rsid w:val="006F240C"/>
    <w:rsid w:val="006F25AF"/>
    <w:rsid w:val="00700EC0"/>
    <w:rsid w:val="0070156E"/>
    <w:rsid w:val="0073167B"/>
    <w:rsid w:val="0074041C"/>
    <w:rsid w:val="0074430C"/>
    <w:rsid w:val="007503C0"/>
    <w:rsid w:val="00763777"/>
    <w:rsid w:val="007678B8"/>
    <w:rsid w:val="00767AD3"/>
    <w:rsid w:val="00772251"/>
    <w:rsid w:val="0077240C"/>
    <w:rsid w:val="0077247F"/>
    <w:rsid w:val="007733E8"/>
    <w:rsid w:val="007749BA"/>
    <w:rsid w:val="0077761C"/>
    <w:rsid w:val="0078081E"/>
    <w:rsid w:val="007824DD"/>
    <w:rsid w:val="007867CD"/>
    <w:rsid w:val="0079224F"/>
    <w:rsid w:val="007A24B3"/>
    <w:rsid w:val="007A2D9E"/>
    <w:rsid w:val="007A39FB"/>
    <w:rsid w:val="007A758D"/>
    <w:rsid w:val="007A7CBD"/>
    <w:rsid w:val="007A7D53"/>
    <w:rsid w:val="007B38F9"/>
    <w:rsid w:val="007B5397"/>
    <w:rsid w:val="007B5963"/>
    <w:rsid w:val="007B6D15"/>
    <w:rsid w:val="007B7FFB"/>
    <w:rsid w:val="007C0D20"/>
    <w:rsid w:val="007C43CA"/>
    <w:rsid w:val="007C522A"/>
    <w:rsid w:val="007C664B"/>
    <w:rsid w:val="007C7534"/>
    <w:rsid w:val="007C78E2"/>
    <w:rsid w:val="007E335A"/>
    <w:rsid w:val="007E34A3"/>
    <w:rsid w:val="007F597B"/>
    <w:rsid w:val="007F5A52"/>
    <w:rsid w:val="00801340"/>
    <w:rsid w:val="008013CD"/>
    <w:rsid w:val="00801CDC"/>
    <w:rsid w:val="00804284"/>
    <w:rsid w:val="00806E50"/>
    <w:rsid w:val="00807E11"/>
    <w:rsid w:val="00812A36"/>
    <w:rsid w:val="0081527E"/>
    <w:rsid w:val="00816CBE"/>
    <w:rsid w:val="008224FE"/>
    <w:rsid w:val="00823827"/>
    <w:rsid w:val="008240E5"/>
    <w:rsid w:val="00824461"/>
    <w:rsid w:val="0083330D"/>
    <w:rsid w:val="008412A3"/>
    <w:rsid w:val="00845678"/>
    <w:rsid w:val="00845D64"/>
    <w:rsid w:val="0085008C"/>
    <w:rsid w:val="00854FAE"/>
    <w:rsid w:val="00856A36"/>
    <w:rsid w:val="008644A7"/>
    <w:rsid w:val="00865947"/>
    <w:rsid w:val="00866B6D"/>
    <w:rsid w:val="00867C60"/>
    <w:rsid w:val="008734D4"/>
    <w:rsid w:val="0088029B"/>
    <w:rsid w:val="00880609"/>
    <w:rsid w:val="00881F42"/>
    <w:rsid w:val="00883301"/>
    <w:rsid w:val="00883A6B"/>
    <w:rsid w:val="0088486F"/>
    <w:rsid w:val="0089011E"/>
    <w:rsid w:val="00892219"/>
    <w:rsid w:val="0089630C"/>
    <w:rsid w:val="008A411D"/>
    <w:rsid w:val="008A4FEA"/>
    <w:rsid w:val="008A6E9E"/>
    <w:rsid w:val="008B0809"/>
    <w:rsid w:val="008B151F"/>
    <w:rsid w:val="008B7293"/>
    <w:rsid w:val="008C4115"/>
    <w:rsid w:val="008D1FB7"/>
    <w:rsid w:val="008D3339"/>
    <w:rsid w:val="008D7B19"/>
    <w:rsid w:val="008E1C02"/>
    <w:rsid w:val="008E70EE"/>
    <w:rsid w:val="008E760D"/>
    <w:rsid w:val="00903475"/>
    <w:rsid w:val="0090714A"/>
    <w:rsid w:val="00911F02"/>
    <w:rsid w:val="00915D6B"/>
    <w:rsid w:val="00915DB1"/>
    <w:rsid w:val="009214A6"/>
    <w:rsid w:val="00931AA8"/>
    <w:rsid w:val="0093248F"/>
    <w:rsid w:val="00934D51"/>
    <w:rsid w:val="00935B5C"/>
    <w:rsid w:val="00936ED9"/>
    <w:rsid w:val="00937217"/>
    <w:rsid w:val="0094212B"/>
    <w:rsid w:val="00945673"/>
    <w:rsid w:val="00946C6E"/>
    <w:rsid w:val="009522C9"/>
    <w:rsid w:val="0095557B"/>
    <w:rsid w:val="00957312"/>
    <w:rsid w:val="00962A9F"/>
    <w:rsid w:val="00966AF7"/>
    <w:rsid w:val="00967865"/>
    <w:rsid w:val="009718E8"/>
    <w:rsid w:val="00972F9B"/>
    <w:rsid w:val="0097414A"/>
    <w:rsid w:val="009759A3"/>
    <w:rsid w:val="00975DA8"/>
    <w:rsid w:val="00976F25"/>
    <w:rsid w:val="00977CC0"/>
    <w:rsid w:val="0098677B"/>
    <w:rsid w:val="009961FC"/>
    <w:rsid w:val="00996E41"/>
    <w:rsid w:val="00997503"/>
    <w:rsid w:val="009A13A2"/>
    <w:rsid w:val="009A296B"/>
    <w:rsid w:val="009A3146"/>
    <w:rsid w:val="009A611A"/>
    <w:rsid w:val="009B0B3D"/>
    <w:rsid w:val="009B4DD6"/>
    <w:rsid w:val="009B6AD7"/>
    <w:rsid w:val="009C35FE"/>
    <w:rsid w:val="009D2935"/>
    <w:rsid w:val="009D3B5F"/>
    <w:rsid w:val="009D5B4B"/>
    <w:rsid w:val="009D6F20"/>
    <w:rsid w:val="009D7FFA"/>
    <w:rsid w:val="009E2C88"/>
    <w:rsid w:val="009E4E73"/>
    <w:rsid w:val="009F1FD4"/>
    <w:rsid w:val="009F3FE2"/>
    <w:rsid w:val="009F4C50"/>
    <w:rsid w:val="00A0615E"/>
    <w:rsid w:val="00A11BDE"/>
    <w:rsid w:val="00A1245E"/>
    <w:rsid w:val="00A1325F"/>
    <w:rsid w:val="00A15984"/>
    <w:rsid w:val="00A2360A"/>
    <w:rsid w:val="00A254C3"/>
    <w:rsid w:val="00A26D6F"/>
    <w:rsid w:val="00A311DC"/>
    <w:rsid w:val="00A31FF9"/>
    <w:rsid w:val="00A417FA"/>
    <w:rsid w:val="00A41E18"/>
    <w:rsid w:val="00A46FD4"/>
    <w:rsid w:val="00A52639"/>
    <w:rsid w:val="00A52A99"/>
    <w:rsid w:val="00A5432C"/>
    <w:rsid w:val="00A546B0"/>
    <w:rsid w:val="00A56107"/>
    <w:rsid w:val="00A61A1D"/>
    <w:rsid w:val="00A62AD1"/>
    <w:rsid w:val="00A65744"/>
    <w:rsid w:val="00A66931"/>
    <w:rsid w:val="00A67666"/>
    <w:rsid w:val="00A74638"/>
    <w:rsid w:val="00A75DD5"/>
    <w:rsid w:val="00A81270"/>
    <w:rsid w:val="00A81FEE"/>
    <w:rsid w:val="00A82497"/>
    <w:rsid w:val="00A86D8B"/>
    <w:rsid w:val="00A87C76"/>
    <w:rsid w:val="00AA1AFE"/>
    <w:rsid w:val="00AA2901"/>
    <w:rsid w:val="00AA38A0"/>
    <w:rsid w:val="00AA73A9"/>
    <w:rsid w:val="00AA77D0"/>
    <w:rsid w:val="00AA77FA"/>
    <w:rsid w:val="00AB2302"/>
    <w:rsid w:val="00AB250B"/>
    <w:rsid w:val="00AB7187"/>
    <w:rsid w:val="00AB752D"/>
    <w:rsid w:val="00AC2153"/>
    <w:rsid w:val="00AC68EF"/>
    <w:rsid w:val="00AD0910"/>
    <w:rsid w:val="00AD11A2"/>
    <w:rsid w:val="00AE3BCE"/>
    <w:rsid w:val="00AE4117"/>
    <w:rsid w:val="00AE513A"/>
    <w:rsid w:val="00AF38EB"/>
    <w:rsid w:val="00AF4FB7"/>
    <w:rsid w:val="00B046AE"/>
    <w:rsid w:val="00B07480"/>
    <w:rsid w:val="00B20716"/>
    <w:rsid w:val="00B21C37"/>
    <w:rsid w:val="00B24D36"/>
    <w:rsid w:val="00B24F89"/>
    <w:rsid w:val="00B27523"/>
    <w:rsid w:val="00B2791D"/>
    <w:rsid w:val="00B32E90"/>
    <w:rsid w:val="00B331B2"/>
    <w:rsid w:val="00B36B8D"/>
    <w:rsid w:val="00B40076"/>
    <w:rsid w:val="00B42E09"/>
    <w:rsid w:val="00B43B3E"/>
    <w:rsid w:val="00B462E1"/>
    <w:rsid w:val="00B50AEA"/>
    <w:rsid w:val="00B52785"/>
    <w:rsid w:val="00B60966"/>
    <w:rsid w:val="00B6697C"/>
    <w:rsid w:val="00B708ED"/>
    <w:rsid w:val="00B724B5"/>
    <w:rsid w:val="00B733C0"/>
    <w:rsid w:val="00B81CF2"/>
    <w:rsid w:val="00B82DC2"/>
    <w:rsid w:val="00B8517A"/>
    <w:rsid w:val="00B925A4"/>
    <w:rsid w:val="00B96AD6"/>
    <w:rsid w:val="00BB0499"/>
    <w:rsid w:val="00BB1553"/>
    <w:rsid w:val="00BB16C3"/>
    <w:rsid w:val="00BB43CA"/>
    <w:rsid w:val="00BC0FEB"/>
    <w:rsid w:val="00BC5C60"/>
    <w:rsid w:val="00BC6086"/>
    <w:rsid w:val="00BC661F"/>
    <w:rsid w:val="00BC682E"/>
    <w:rsid w:val="00BD1B48"/>
    <w:rsid w:val="00BD4F5B"/>
    <w:rsid w:val="00BD6D07"/>
    <w:rsid w:val="00BD7FE0"/>
    <w:rsid w:val="00BE3EDD"/>
    <w:rsid w:val="00BE513B"/>
    <w:rsid w:val="00BE61BC"/>
    <w:rsid w:val="00BF00EB"/>
    <w:rsid w:val="00BF33E7"/>
    <w:rsid w:val="00BF378D"/>
    <w:rsid w:val="00BF4130"/>
    <w:rsid w:val="00BF4D13"/>
    <w:rsid w:val="00C02BD1"/>
    <w:rsid w:val="00C03EFA"/>
    <w:rsid w:val="00C05337"/>
    <w:rsid w:val="00C11642"/>
    <w:rsid w:val="00C11FED"/>
    <w:rsid w:val="00C20CE2"/>
    <w:rsid w:val="00C22555"/>
    <w:rsid w:val="00C22D3F"/>
    <w:rsid w:val="00C25F99"/>
    <w:rsid w:val="00C31276"/>
    <w:rsid w:val="00C327AC"/>
    <w:rsid w:val="00C3401F"/>
    <w:rsid w:val="00C3444D"/>
    <w:rsid w:val="00C3453D"/>
    <w:rsid w:val="00C4373C"/>
    <w:rsid w:val="00C45C15"/>
    <w:rsid w:val="00C53433"/>
    <w:rsid w:val="00C54EB8"/>
    <w:rsid w:val="00C60D08"/>
    <w:rsid w:val="00C611F8"/>
    <w:rsid w:val="00C63E2C"/>
    <w:rsid w:val="00C71B35"/>
    <w:rsid w:val="00C71CF2"/>
    <w:rsid w:val="00C73C41"/>
    <w:rsid w:val="00C7646C"/>
    <w:rsid w:val="00C861C5"/>
    <w:rsid w:val="00C865FE"/>
    <w:rsid w:val="00C92F55"/>
    <w:rsid w:val="00C943C7"/>
    <w:rsid w:val="00C94A95"/>
    <w:rsid w:val="00C9527B"/>
    <w:rsid w:val="00C961C2"/>
    <w:rsid w:val="00CA22A0"/>
    <w:rsid w:val="00CA3333"/>
    <w:rsid w:val="00CA360C"/>
    <w:rsid w:val="00CA47DB"/>
    <w:rsid w:val="00CA599D"/>
    <w:rsid w:val="00CA5F5A"/>
    <w:rsid w:val="00CB0D02"/>
    <w:rsid w:val="00CB2CC2"/>
    <w:rsid w:val="00CB386B"/>
    <w:rsid w:val="00CB567A"/>
    <w:rsid w:val="00CB5D31"/>
    <w:rsid w:val="00CC0089"/>
    <w:rsid w:val="00CC33A8"/>
    <w:rsid w:val="00CC5B4D"/>
    <w:rsid w:val="00CD1093"/>
    <w:rsid w:val="00CD3CE9"/>
    <w:rsid w:val="00CD6DEF"/>
    <w:rsid w:val="00CE2E25"/>
    <w:rsid w:val="00CE3EF0"/>
    <w:rsid w:val="00CF7DAB"/>
    <w:rsid w:val="00D02603"/>
    <w:rsid w:val="00D0487A"/>
    <w:rsid w:val="00D07EE0"/>
    <w:rsid w:val="00D07F43"/>
    <w:rsid w:val="00D142B1"/>
    <w:rsid w:val="00D15C31"/>
    <w:rsid w:val="00D206EE"/>
    <w:rsid w:val="00D211D2"/>
    <w:rsid w:val="00D2694C"/>
    <w:rsid w:val="00D26B9A"/>
    <w:rsid w:val="00D34D71"/>
    <w:rsid w:val="00D43D13"/>
    <w:rsid w:val="00D5489C"/>
    <w:rsid w:val="00D5655A"/>
    <w:rsid w:val="00D63242"/>
    <w:rsid w:val="00D67B6F"/>
    <w:rsid w:val="00D70CE0"/>
    <w:rsid w:val="00D7675E"/>
    <w:rsid w:val="00D80D2D"/>
    <w:rsid w:val="00D8165F"/>
    <w:rsid w:val="00D83DA9"/>
    <w:rsid w:val="00D91916"/>
    <w:rsid w:val="00D91AA1"/>
    <w:rsid w:val="00D92AAE"/>
    <w:rsid w:val="00DA08C4"/>
    <w:rsid w:val="00DA16EB"/>
    <w:rsid w:val="00DA53A5"/>
    <w:rsid w:val="00DB2AF9"/>
    <w:rsid w:val="00DB6903"/>
    <w:rsid w:val="00DC0304"/>
    <w:rsid w:val="00DC356E"/>
    <w:rsid w:val="00DD02E8"/>
    <w:rsid w:val="00DD5619"/>
    <w:rsid w:val="00DD57A2"/>
    <w:rsid w:val="00DD7283"/>
    <w:rsid w:val="00DE7680"/>
    <w:rsid w:val="00DF383F"/>
    <w:rsid w:val="00E126DE"/>
    <w:rsid w:val="00E1772D"/>
    <w:rsid w:val="00E26699"/>
    <w:rsid w:val="00E320BD"/>
    <w:rsid w:val="00E361BE"/>
    <w:rsid w:val="00E41D48"/>
    <w:rsid w:val="00E54203"/>
    <w:rsid w:val="00E5668D"/>
    <w:rsid w:val="00E6041A"/>
    <w:rsid w:val="00E60742"/>
    <w:rsid w:val="00E64A8C"/>
    <w:rsid w:val="00E72B30"/>
    <w:rsid w:val="00E76A86"/>
    <w:rsid w:val="00E80E6F"/>
    <w:rsid w:val="00E81032"/>
    <w:rsid w:val="00E82ACE"/>
    <w:rsid w:val="00E90555"/>
    <w:rsid w:val="00E95350"/>
    <w:rsid w:val="00E9608D"/>
    <w:rsid w:val="00E96C83"/>
    <w:rsid w:val="00EA1418"/>
    <w:rsid w:val="00EA3711"/>
    <w:rsid w:val="00EB4D40"/>
    <w:rsid w:val="00EB5775"/>
    <w:rsid w:val="00EB7219"/>
    <w:rsid w:val="00EC1944"/>
    <w:rsid w:val="00EC3124"/>
    <w:rsid w:val="00EC5E16"/>
    <w:rsid w:val="00EC7639"/>
    <w:rsid w:val="00ED7383"/>
    <w:rsid w:val="00ED79D0"/>
    <w:rsid w:val="00EE0E2E"/>
    <w:rsid w:val="00EE42DE"/>
    <w:rsid w:val="00EE5B7C"/>
    <w:rsid w:val="00EF0075"/>
    <w:rsid w:val="00EF27C2"/>
    <w:rsid w:val="00EF3638"/>
    <w:rsid w:val="00EF6C8A"/>
    <w:rsid w:val="00F0083C"/>
    <w:rsid w:val="00F02336"/>
    <w:rsid w:val="00F02C7A"/>
    <w:rsid w:val="00F05B77"/>
    <w:rsid w:val="00F061DC"/>
    <w:rsid w:val="00F10F29"/>
    <w:rsid w:val="00F12A2D"/>
    <w:rsid w:val="00F24976"/>
    <w:rsid w:val="00F351FF"/>
    <w:rsid w:val="00F40793"/>
    <w:rsid w:val="00F4117E"/>
    <w:rsid w:val="00F4118A"/>
    <w:rsid w:val="00F504F2"/>
    <w:rsid w:val="00F5228C"/>
    <w:rsid w:val="00F544D6"/>
    <w:rsid w:val="00F55EDA"/>
    <w:rsid w:val="00F55EDF"/>
    <w:rsid w:val="00F615D9"/>
    <w:rsid w:val="00F70C26"/>
    <w:rsid w:val="00F71815"/>
    <w:rsid w:val="00F723FA"/>
    <w:rsid w:val="00F72715"/>
    <w:rsid w:val="00F74B1F"/>
    <w:rsid w:val="00F75D69"/>
    <w:rsid w:val="00F76E9C"/>
    <w:rsid w:val="00F85AEE"/>
    <w:rsid w:val="00F918BF"/>
    <w:rsid w:val="00F92F38"/>
    <w:rsid w:val="00F93428"/>
    <w:rsid w:val="00F943A6"/>
    <w:rsid w:val="00F96203"/>
    <w:rsid w:val="00F9668C"/>
    <w:rsid w:val="00FA1BED"/>
    <w:rsid w:val="00FA7048"/>
    <w:rsid w:val="00FB0EBD"/>
    <w:rsid w:val="00FB2A21"/>
    <w:rsid w:val="00FB37FB"/>
    <w:rsid w:val="00FB7600"/>
    <w:rsid w:val="00FC0313"/>
    <w:rsid w:val="00FC087D"/>
    <w:rsid w:val="00FC2638"/>
    <w:rsid w:val="00FC423C"/>
    <w:rsid w:val="00FC62B6"/>
    <w:rsid w:val="00FC73A7"/>
    <w:rsid w:val="00FD1883"/>
    <w:rsid w:val="00FD354D"/>
    <w:rsid w:val="00FD3BAE"/>
    <w:rsid w:val="00FD6C60"/>
    <w:rsid w:val="00FE117E"/>
    <w:rsid w:val="00FE358B"/>
    <w:rsid w:val="00FE3A0E"/>
    <w:rsid w:val="00FF09F0"/>
    <w:rsid w:val="00FF45AC"/>
    <w:rsid w:val="00FF4AF0"/>
    <w:rsid w:val="00FF4F3A"/>
    <w:rsid w:val="00FF53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C408C2"/>
  <w15:docId w15:val="{11F1B787-CA4F-4CAD-B7CB-ED2F0E91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8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6A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071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7680"/>
    <w:pPr>
      <w:spacing w:after="0" w:line="240" w:lineRule="auto"/>
    </w:pPr>
  </w:style>
  <w:style w:type="character" w:styleId="Hyperlink">
    <w:name w:val="Hyperlink"/>
    <w:basedOn w:val="DefaultParagraphFont"/>
    <w:uiPriority w:val="99"/>
    <w:unhideWhenUsed/>
    <w:rsid w:val="0073167B"/>
    <w:rPr>
      <w:color w:val="0000FF" w:themeColor="hyperlink"/>
      <w:u w:val="single"/>
    </w:rPr>
  </w:style>
  <w:style w:type="paragraph" w:styleId="Header">
    <w:name w:val="header"/>
    <w:basedOn w:val="Normal"/>
    <w:link w:val="HeaderChar"/>
    <w:uiPriority w:val="99"/>
    <w:unhideWhenUsed/>
    <w:rsid w:val="00FF45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5AC"/>
  </w:style>
  <w:style w:type="paragraph" w:styleId="Footer">
    <w:name w:val="footer"/>
    <w:basedOn w:val="Normal"/>
    <w:link w:val="FooterChar"/>
    <w:uiPriority w:val="99"/>
    <w:unhideWhenUsed/>
    <w:rsid w:val="00FF45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5AC"/>
  </w:style>
  <w:style w:type="paragraph" w:styleId="FootnoteText">
    <w:name w:val="footnote text"/>
    <w:basedOn w:val="Normal"/>
    <w:link w:val="FootnoteTextChar"/>
    <w:uiPriority w:val="99"/>
    <w:semiHidden/>
    <w:unhideWhenUsed/>
    <w:rsid w:val="00A75D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5DD5"/>
    <w:rPr>
      <w:sz w:val="20"/>
      <w:szCs w:val="20"/>
    </w:rPr>
  </w:style>
  <w:style w:type="character" w:styleId="FootnoteReference">
    <w:name w:val="footnote reference"/>
    <w:basedOn w:val="DefaultParagraphFont"/>
    <w:unhideWhenUsed/>
    <w:rsid w:val="00A75DD5"/>
    <w:rPr>
      <w:vertAlign w:val="superscript"/>
    </w:rPr>
  </w:style>
  <w:style w:type="character" w:customStyle="1" w:styleId="Heading1Char">
    <w:name w:val="Heading 1 Char"/>
    <w:basedOn w:val="DefaultParagraphFont"/>
    <w:link w:val="Heading1"/>
    <w:uiPriority w:val="9"/>
    <w:rsid w:val="00B96AD6"/>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9C35FE"/>
    <w:rPr>
      <w:sz w:val="16"/>
      <w:szCs w:val="16"/>
    </w:rPr>
  </w:style>
  <w:style w:type="paragraph" w:styleId="CommentText">
    <w:name w:val="annotation text"/>
    <w:basedOn w:val="Normal"/>
    <w:link w:val="CommentTextChar"/>
    <w:uiPriority w:val="99"/>
    <w:semiHidden/>
    <w:unhideWhenUsed/>
    <w:rsid w:val="009C35FE"/>
    <w:pPr>
      <w:spacing w:line="240" w:lineRule="auto"/>
    </w:pPr>
    <w:rPr>
      <w:sz w:val="20"/>
      <w:szCs w:val="20"/>
    </w:rPr>
  </w:style>
  <w:style w:type="character" w:customStyle="1" w:styleId="CommentTextChar">
    <w:name w:val="Comment Text Char"/>
    <w:basedOn w:val="DefaultParagraphFont"/>
    <w:link w:val="CommentText"/>
    <w:uiPriority w:val="99"/>
    <w:semiHidden/>
    <w:rsid w:val="009C35FE"/>
    <w:rPr>
      <w:sz w:val="20"/>
      <w:szCs w:val="20"/>
    </w:rPr>
  </w:style>
  <w:style w:type="paragraph" w:styleId="CommentSubject">
    <w:name w:val="annotation subject"/>
    <w:basedOn w:val="CommentText"/>
    <w:next w:val="CommentText"/>
    <w:link w:val="CommentSubjectChar"/>
    <w:uiPriority w:val="99"/>
    <w:semiHidden/>
    <w:unhideWhenUsed/>
    <w:rsid w:val="009C35FE"/>
    <w:rPr>
      <w:b/>
      <w:bCs/>
    </w:rPr>
  </w:style>
  <w:style w:type="character" w:customStyle="1" w:styleId="CommentSubjectChar">
    <w:name w:val="Comment Subject Char"/>
    <w:basedOn w:val="CommentTextChar"/>
    <w:link w:val="CommentSubject"/>
    <w:uiPriority w:val="99"/>
    <w:semiHidden/>
    <w:rsid w:val="009C35FE"/>
    <w:rPr>
      <w:b/>
      <w:bCs/>
      <w:sz w:val="20"/>
      <w:szCs w:val="20"/>
    </w:rPr>
  </w:style>
  <w:style w:type="paragraph" w:styleId="BalloonText">
    <w:name w:val="Balloon Text"/>
    <w:basedOn w:val="Normal"/>
    <w:link w:val="BalloonTextChar"/>
    <w:uiPriority w:val="99"/>
    <w:semiHidden/>
    <w:unhideWhenUsed/>
    <w:rsid w:val="009C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5FE"/>
    <w:rPr>
      <w:rFonts w:ascii="Tahoma" w:hAnsi="Tahoma" w:cs="Tahoma"/>
      <w:sz w:val="16"/>
      <w:szCs w:val="16"/>
    </w:rPr>
  </w:style>
  <w:style w:type="paragraph" w:styleId="Title">
    <w:name w:val="Title"/>
    <w:basedOn w:val="Normal"/>
    <w:next w:val="Normal"/>
    <w:link w:val="TitleChar"/>
    <w:uiPriority w:val="10"/>
    <w:qFormat/>
    <w:rsid w:val="00B207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071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2071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84"/>
    <w:qFormat/>
    <w:rsid w:val="001D754A"/>
    <w:pPr>
      <w:ind w:left="720"/>
      <w:contextualSpacing/>
    </w:pPr>
  </w:style>
  <w:style w:type="paragraph" w:customStyle="1" w:styleId="Default">
    <w:name w:val="Default"/>
    <w:rsid w:val="00546EF9"/>
    <w:pPr>
      <w:autoSpaceDE w:val="0"/>
      <w:autoSpaceDN w:val="0"/>
      <w:adjustRightInd w:val="0"/>
      <w:spacing w:after="0" w:line="240" w:lineRule="auto"/>
    </w:pPr>
    <w:rPr>
      <w:rFonts w:ascii="Calibri" w:hAnsi="Calibri" w:cs="Calibri"/>
      <w:color w:val="000000"/>
      <w:sz w:val="24"/>
      <w:szCs w:val="24"/>
    </w:rPr>
  </w:style>
  <w:style w:type="character" w:styleId="PageNumber">
    <w:name w:val="page number"/>
    <w:basedOn w:val="DefaultParagraphFont"/>
    <w:uiPriority w:val="99"/>
    <w:semiHidden/>
    <w:unhideWhenUsed/>
    <w:rsid w:val="005C0B06"/>
  </w:style>
  <w:style w:type="character" w:styleId="UnresolvedMention">
    <w:name w:val="Unresolved Mention"/>
    <w:basedOn w:val="DefaultParagraphFont"/>
    <w:uiPriority w:val="99"/>
    <w:rsid w:val="00816CBE"/>
    <w:rPr>
      <w:color w:val="605E5C"/>
      <w:shd w:val="clear" w:color="auto" w:fill="E1DFDD"/>
    </w:rPr>
  </w:style>
  <w:style w:type="paragraph" w:styleId="Revision">
    <w:name w:val="Revision"/>
    <w:hidden/>
    <w:uiPriority w:val="99"/>
    <w:semiHidden/>
    <w:rsid w:val="00FC26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6458">
      <w:bodyDiv w:val="1"/>
      <w:marLeft w:val="0"/>
      <w:marRight w:val="0"/>
      <w:marTop w:val="0"/>
      <w:marBottom w:val="0"/>
      <w:divBdr>
        <w:top w:val="none" w:sz="0" w:space="0" w:color="auto"/>
        <w:left w:val="none" w:sz="0" w:space="0" w:color="auto"/>
        <w:bottom w:val="none" w:sz="0" w:space="0" w:color="auto"/>
        <w:right w:val="none" w:sz="0" w:space="0" w:color="auto"/>
      </w:divBdr>
    </w:div>
    <w:div w:id="89745226">
      <w:bodyDiv w:val="1"/>
      <w:marLeft w:val="0"/>
      <w:marRight w:val="0"/>
      <w:marTop w:val="0"/>
      <w:marBottom w:val="0"/>
      <w:divBdr>
        <w:top w:val="none" w:sz="0" w:space="0" w:color="auto"/>
        <w:left w:val="none" w:sz="0" w:space="0" w:color="auto"/>
        <w:bottom w:val="none" w:sz="0" w:space="0" w:color="auto"/>
        <w:right w:val="none" w:sz="0" w:space="0" w:color="auto"/>
      </w:divBdr>
    </w:div>
    <w:div w:id="620723663">
      <w:bodyDiv w:val="1"/>
      <w:marLeft w:val="0"/>
      <w:marRight w:val="0"/>
      <w:marTop w:val="0"/>
      <w:marBottom w:val="0"/>
      <w:divBdr>
        <w:top w:val="none" w:sz="0" w:space="0" w:color="auto"/>
        <w:left w:val="none" w:sz="0" w:space="0" w:color="auto"/>
        <w:bottom w:val="none" w:sz="0" w:space="0" w:color="auto"/>
        <w:right w:val="none" w:sz="0" w:space="0" w:color="auto"/>
      </w:divBdr>
    </w:div>
    <w:div w:id="814642744">
      <w:bodyDiv w:val="1"/>
      <w:marLeft w:val="0"/>
      <w:marRight w:val="0"/>
      <w:marTop w:val="0"/>
      <w:marBottom w:val="0"/>
      <w:divBdr>
        <w:top w:val="none" w:sz="0" w:space="0" w:color="auto"/>
        <w:left w:val="none" w:sz="0" w:space="0" w:color="auto"/>
        <w:bottom w:val="none" w:sz="0" w:space="0" w:color="auto"/>
        <w:right w:val="none" w:sz="0" w:space="0" w:color="auto"/>
      </w:divBdr>
    </w:div>
    <w:div w:id="846865564">
      <w:bodyDiv w:val="1"/>
      <w:marLeft w:val="0"/>
      <w:marRight w:val="0"/>
      <w:marTop w:val="0"/>
      <w:marBottom w:val="0"/>
      <w:divBdr>
        <w:top w:val="none" w:sz="0" w:space="0" w:color="auto"/>
        <w:left w:val="none" w:sz="0" w:space="0" w:color="auto"/>
        <w:bottom w:val="none" w:sz="0" w:space="0" w:color="auto"/>
        <w:right w:val="none" w:sz="0" w:space="0" w:color="auto"/>
      </w:divBdr>
    </w:div>
    <w:div w:id="918563300">
      <w:bodyDiv w:val="1"/>
      <w:marLeft w:val="0"/>
      <w:marRight w:val="0"/>
      <w:marTop w:val="0"/>
      <w:marBottom w:val="0"/>
      <w:divBdr>
        <w:top w:val="none" w:sz="0" w:space="0" w:color="auto"/>
        <w:left w:val="none" w:sz="0" w:space="0" w:color="auto"/>
        <w:bottom w:val="none" w:sz="0" w:space="0" w:color="auto"/>
        <w:right w:val="none" w:sz="0" w:space="0" w:color="auto"/>
      </w:divBdr>
    </w:div>
    <w:div w:id="1213156236">
      <w:bodyDiv w:val="1"/>
      <w:marLeft w:val="0"/>
      <w:marRight w:val="0"/>
      <w:marTop w:val="0"/>
      <w:marBottom w:val="0"/>
      <w:divBdr>
        <w:top w:val="none" w:sz="0" w:space="0" w:color="auto"/>
        <w:left w:val="none" w:sz="0" w:space="0" w:color="auto"/>
        <w:bottom w:val="none" w:sz="0" w:space="0" w:color="auto"/>
        <w:right w:val="none" w:sz="0" w:space="0" w:color="auto"/>
      </w:divBdr>
    </w:div>
    <w:div w:id="1362976587">
      <w:bodyDiv w:val="1"/>
      <w:marLeft w:val="0"/>
      <w:marRight w:val="0"/>
      <w:marTop w:val="0"/>
      <w:marBottom w:val="0"/>
      <w:divBdr>
        <w:top w:val="none" w:sz="0" w:space="0" w:color="auto"/>
        <w:left w:val="none" w:sz="0" w:space="0" w:color="auto"/>
        <w:bottom w:val="none" w:sz="0" w:space="0" w:color="auto"/>
        <w:right w:val="none" w:sz="0" w:space="0" w:color="auto"/>
      </w:divBdr>
    </w:div>
    <w:div w:id="157077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h.easson@nntc.com.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3BC9A47B6B64CB056CAD68EEDDAB0" ma:contentTypeVersion="15" ma:contentTypeDescription="Create a new document." ma:contentTypeScope="" ma:versionID="75050ad6abe3954deef432c1bc792b09">
  <xsd:schema xmlns:xsd="http://www.w3.org/2001/XMLSchema" xmlns:xs="http://www.w3.org/2001/XMLSchema" xmlns:p="http://schemas.microsoft.com/office/2006/metadata/properties" xmlns:ns2="5eab5fc8-46fe-4db7-a259-0391977dcac2" xmlns:ns3="34af92dd-cdc2-4c44-8a4f-93db8b056f44" targetNamespace="http://schemas.microsoft.com/office/2006/metadata/properties" ma:root="true" ma:fieldsID="f5444fc028f01cfdcc165dfd1a63ab4c" ns2:_="" ns3:_="">
    <xsd:import namespace="5eab5fc8-46fe-4db7-a259-0391977dcac2"/>
    <xsd:import namespace="34af92dd-cdc2-4c44-8a4f-93db8b056f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b5fc8-46fe-4db7-a259-0391977dc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90ff6ca-9ab2-4611-bc02-ee9d5ff3b96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af92dd-cdc2-4c44-8a4f-93db8b056f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4a7bed-9e16-45d4-94f4-a4b9149cef17}" ma:internalName="TaxCatchAll" ma:showField="CatchAllData" ma:web="34af92dd-cdc2-4c44-8a4f-93db8b056f4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4af92dd-cdc2-4c44-8a4f-93db8b056f44" xsi:nil="true"/>
    <lcf76f155ced4ddcb4097134ff3c332f xmlns="5eab5fc8-46fe-4db7-a259-0391977dca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0F48A5-B8B4-4B22-BF28-CF1A949D7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b5fc8-46fe-4db7-a259-0391977dcac2"/>
    <ds:schemaRef ds:uri="34af92dd-cdc2-4c44-8a4f-93db8b056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870F0B-7DBE-4531-AFC6-C60F1670A6EE}">
  <ds:schemaRefs>
    <ds:schemaRef ds:uri="http://schemas.openxmlformats.org/officeDocument/2006/bibliography"/>
  </ds:schemaRefs>
</ds:datastoreItem>
</file>

<file path=customXml/itemProps3.xml><?xml version="1.0" encoding="utf-8"?>
<ds:datastoreItem xmlns:ds="http://schemas.openxmlformats.org/officeDocument/2006/customXml" ds:itemID="{8F53180A-1874-4A29-B457-F3B3B54897CF}">
  <ds:schemaRefs>
    <ds:schemaRef ds:uri="http://schemas.microsoft.com/sharepoint/v3/contenttype/forms"/>
  </ds:schemaRefs>
</ds:datastoreItem>
</file>

<file path=customXml/itemProps4.xml><?xml version="1.0" encoding="utf-8"?>
<ds:datastoreItem xmlns:ds="http://schemas.openxmlformats.org/officeDocument/2006/customXml" ds:itemID="{13F9D8D8-505E-4185-8614-FED891C1EE30}">
  <ds:schemaRefs>
    <ds:schemaRef ds:uri="http://schemas.microsoft.com/office/2006/metadata/properties"/>
    <ds:schemaRef ds:uri="http://schemas.microsoft.com/office/infopath/2007/PartnerControls"/>
    <ds:schemaRef ds:uri="34af92dd-cdc2-4c44-8a4f-93db8b056f44"/>
    <ds:schemaRef ds:uri="5eab5fc8-46fe-4db7-a259-0391977dcac2"/>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1040</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SWALSC</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Phillis</dc:creator>
  <cp:keywords/>
  <cp:lastModifiedBy>Sarah Easson</cp:lastModifiedBy>
  <cp:revision>5</cp:revision>
  <cp:lastPrinted>2025-03-12T01:16:00Z</cp:lastPrinted>
  <dcterms:created xsi:type="dcterms:W3CDTF">2025-03-12T01:10:00Z</dcterms:created>
  <dcterms:modified xsi:type="dcterms:W3CDTF">2025-03-12T01:16:00Z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0x010100A6B3BC9A47B6B64CB056CAD68EEDDAB0</vt:lpwstr>
  </property>
  <property fmtid="{D5CDD505-2E9C-101B-9397-08002B2CF9AE}" pid="3" name="MediaServiceImageTags">
    <vt:lpwstr/>
  </property>
</Properties>
</file>